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12587E" w14:textId="77777777" w:rsidR="004369B8" w:rsidRPr="00C234FB" w:rsidRDefault="00E1491C" w:rsidP="00CE49F8">
      <w:pPr>
        <w:spacing w:after="0"/>
        <w:jc w:val="center"/>
        <w:rPr>
          <w:rFonts w:eastAsiaTheme="minorHAnsi" w:cstheme="minorBidi"/>
          <w:szCs w:val="22"/>
          <w:lang w:val="en-GB"/>
        </w:rPr>
      </w:pPr>
      <w:sdt>
        <w:sdtPr>
          <w:rPr>
            <w:rFonts w:eastAsiaTheme="minorHAnsi" w:cstheme="minorBidi"/>
            <w:noProof/>
            <w:szCs w:val="22"/>
            <w:lang w:val="en-GB" w:eastAsia="en-GB"/>
          </w:rPr>
          <w:id w:val="2000993162"/>
          <w:lock w:val="contentLocked"/>
          <w:picture/>
        </w:sdtPr>
        <w:sdtEndPr/>
        <w:sdtContent>
          <w:r w:rsidR="004369B8" w:rsidRPr="00C234FB">
            <w:rPr>
              <w:rFonts w:eastAsiaTheme="minorHAnsi" w:cstheme="minorBidi"/>
              <w:noProof/>
              <w:szCs w:val="22"/>
              <w:lang w:val="en-GB" w:eastAsia="en-GB"/>
            </w:rPr>
            <w:drawing>
              <wp:inline distT="0" distB="0" distL="0" distR="0" wp14:anchorId="25125E75" wp14:editId="645F9578">
                <wp:extent cx="1799998" cy="122632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OPA_Logo_300dpi.jpg"/>
                        <pic:cNvPicPr/>
                      </pic:nvPicPr>
                      <pic:blipFill>
                        <a:blip r:embed="rId11">
                          <a:extLst>
                            <a:ext uri="{28A0092B-C50C-407E-A947-70E740481C1C}">
                              <a14:useLocalDpi xmlns:a14="http://schemas.microsoft.com/office/drawing/2010/main" val="0"/>
                            </a:ext>
                          </a:extLst>
                        </a:blip>
                        <a:stretch>
                          <a:fillRect/>
                        </a:stretch>
                      </pic:blipFill>
                      <pic:spPr>
                        <a:xfrm>
                          <a:off x="0" y="0"/>
                          <a:ext cx="1799998" cy="1226327"/>
                        </a:xfrm>
                        <a:prstGeom prst="rect">
                          <a:avLst/>
                        </a:prstGeom>
                      </pic:spPr>
                    </pic:pic>
                  </a:graphicData>
                </a:graphic>
              </wp:inline>
            </w:drawing>
          </w:r>
        </w:sdtContent>
      </w:sdt>
    </w:p>
    <w:p w14:paraId="25125C1B" w14:textId="3A5C2958" w:rsidR="007A75B6" w:rsidRPr="00800682" w:rsidRDefault="00D219E6" w:rsidP="00CB2BD1">
      <w:pPr>
        <w:tabs>
          <w:tab w:val="left" w:pos="1480"/>
        </w:tabs>
        <w:spacing w:before="0" w:after="0"/>
        <w:jc w:val="right"/>
        <w:rPr>
          <w:sz w:val="20"/>
          <w:szCs w:val="20"/>
          <w:lang w:val="en-GB"/>
        </w:rPr>
      </w:pPr>
      <w:r w:rsidRPr="008C3C02">
        <w:rPr>
          <w:rFonts w:eastAsiaTheme="minorHAnsi" w:cstheme="minorBidi"/>
          <w:sz w:val="20"/>
          <w:szCs w:val="20"/>
          <w:lang w:val="en-GB"/>
        </w:rPr>
        <w:t>EIOPA-BoS-</w:t>
      </w:r>
      <w:sdt>
        <w:sdtPr>
          <w:rPr>
            <w:rFonts w:eastAsiaTheme="minorHAnsi" w:cstheme="minorBidi"/>
            <w:sz w:val="20"/>
            <w:szCs w:val="20"/>
          </w:rPr>
          <w:id w:val="-1605414361"/>
        </w:sdtPr>
        <w:sdtEndPr/>
        <w:sdtContent>
          <w:r w:rsidRPr="008C3C02">
            <w:rPr>
              <w:rFonts w:eastAsiaTheme="minorHAnsi" w:cstheme="minorBidi"/>
              <w:sz w:val="20"/>
              <w:szCs w:val="20"/>
              <w:lang w:val="en-GB"/>
            </w:rPr>
            <w:t>17/</w:t>
          </w:r>
          <w:r>
            <w:rPr>
              <w:rFonts w:eastAsiaTheme="minorHAnsi" w:cstheme="minorBidi"/>
              <w:sz w:val="20"/>
              <w:szCs w:val="20"/>
              <w:lang w:val="en-GB"/>
            </w:rPr>
            <w:t>230</w:t>
          </w:r>
        </w:sdtContent>
      </w:sdt>
      <w:r w:rsidRPr="008C3C02">
        <w:rPr>
          <w:rFonts w:eastAsiaTheme="minorHAnsi" w:cstheme="minorBidi"/>
          <w:sz w:val="20"/>
          <w:szCs w:val="20"/>
          <w:lang w:val="en-GB"/>
        </w:rPr>
        <w:br/>
      </w:r>
      <w:sdt>
        <w:sdtPr>
          <w:rPr>
            <w:rFonts w:eastAsiaTheme="minorHAnsi" w:cstheme="minorBidi"/>
            <w:sz w:val="20"/>
            <w:szCs w:val="20"/>
          </w:rPr>
          <w:id w:val="142479257"/>
        </w:sdtPr>
        <w:sdtEndPr/>
        <w:sdtContent>
          <w:r w:rsidR="00562EA2" w:rsidRPr="008B40E9">
            <w:rPr>
              <w:rFonts w:eastAsiaTheme="minorHAnsi" w:cstheme="minorBidi"/>
              <w:sz w:val="20"/>
              <w:szCs w:val="20"/>
              <w:lang w:val="en-GB"/>
            </w:rPr>
            <w:t>1</w:t>
          </w:r>
          <w:r w:rsidR="003F2151">
            <w:rPr>
              <w:rFonts w:eastAsiaTheme="minorHAnsi" w:cstheme="minorBidi"/>
              <w:sz w:val="20"/>
              <w:szCs w:val="20"/>
              <w:lang w:val="en-GB"/>
            </w:rPr>
            <w:t>8</w:t>
          </w:r>
          <w:r w:rsidRPr="00562EA2">
            <w:rPr>
              <w:rFonts w:eastAsiaTheme="minorHAnsi" w:cstheme="minorBidi"/>
              <w:sz w:val="20"/>
              <w:szCs w:val="20"/>
              <w:lang w:val="en-GB"/>
            </w:rPr>
            <w:t xml:space="preserve"> </w:t>
          </w:r>
          <w:r w:rsidR="003F2151">
            <w:rPr>
              <w:rFonts w:eastAsiaTheme="minorHAnsi" w:cstheme="minorBidi"/>
              <w:sz w:val="20"/>
              <w:szCs w:val="20"/>
              <w:lang w:val="en-GB"/>
            </w:rPr>
            <w:t>June</w:t>
          </w:r>
          <w:r w:rsidR="003F2151" w:rsidRPr="00562EA2">
            <w:rPr>
              <w:rFonts w:eastAsiaTheme="minorHAnsi" w:cstheme="minorBidi"/>
              <w:sz w:val="20"/>
              <w:szCs w:val="20"/>
              <w:lang w:val="en-GB"/>
            </w:rPr>
            <w:t xml:space="preserve"> </w:t>
          </w:r>
          <w:r w:rsidRPr="00562EA2">
            <w:rPr>
              <w:rFonts w:eastAsiaTheme="minorHAnsi" w:cstheme="minorBidi"/>
              <w:sz w:val="20"/>
              <w:szCs w:val="20"/>
              <w:lang w:val="en-GB"/>
            </w:rPr>
            <w:t>2017</w:t>
          </w:r>
        </w:sdtContent>
      </w:sdt>
      <w:r w:rsidR="004369B8" w:rsidRPr="00C234FB">
        <w:rPr>
          <w:rFonts w:eastAsiaTheme="minorHAnsi" w:cstheme="minorBidi"/>
          <w:sz w:val="20"/>
          <w:szCs w:val="20"/>
          <w:lang w:val="en-GB"/>
        </w:rPr>
        <w:br/>
      </w:r>
    </w:p>
    <w:p w14:paraId="25125C1D" w14:textId="638023B3" w:rsidR="00037FF8" w:rsidRPr="003F1739" w:rsidRDefault="00361EA9" w:rsidP="0019525A">
      <w:pPr>
        <w:pStyle w:val="Heading1"/>
        <w:rPr>
          <w:rFonts w:ascii="Verdana" w:hAnsi="Verdana"/>
          <w:color w:val="auto"/>
          <w:lang w:val="en-GB"/>
        </w:rPr>
      </w:pPr>
      <w:bookmarkStart w:id="0" w:name="_Toc451770386"/>
      <w:r w:rsidRPr="003F1739">
        <w:rPr>
          <w:rFonts w:ascii="Verdana" w:hAnsi="Verdana"/>
          <w:color w:val="auto"/>
          <w:lang w:val="en-GB"/>
        </w:rPr>
        <w:t>Impact Assessment</w:t>
      </w:r>
      <w:bookmarkEnd w:id="0"/>
      <w:r w:rsidR="00AB25F2">
        <w:rPr>
          <w:rFonts w:ascii="Verdana" w:hAnsi="Verdana"/>
          <w:color w:val="auto"/>
          <w:lang w:val="en-GB"/>
        </w:rPr>
        <w:t xml:space="preserve"> of draft amendment of ITS on Reporting </w:t>
      </w:r>
    </w:p>
    <w:p w14:paraId="25125C1E" w14:textId="77777777" w:rsidR="007A75B6" w:rsidRPr="007A75B6" w:rsidRDefault="007A75B6" w:rsidP="00EE1105">
      <w:pPr>
        <w:pStyle w:val="Heading2"/>
        <w:rPr>
          <w:lang w:val="en-GB" w:eastAsia="en-GB"/>
        </w:rPr>
      </w:pPr>
      <w:r w:rsidRPr="007A75B6">
        <w:rPr>
          <w:lang w:val="en-GB" w:eastAsia="en-GB"/>
        </w:rPr>
        <w:t>Section 1: Procedural issues and consultation of interested parties</w:t>
      </w:r>
      <w:r w:rsidRPr="007A75B6" w:rsidDel="005A168C">
        <w:rPr>
          <w:lang w:val="en-GB" w:eastAsia="en-GB"/>
        </w:rPr>
        <w:t xml:space="preserve"> </w:t>
      </w:r>
    </w:p>
    <w:p w14:paraId="25125C1F" w14:textId="3785C529" w:rsidR="007A75B6" w:rsidRPr="007A75B6" w:rsidRDefault="007A75B6" w:rsidP="00E01A3B">
      <w:pPr>
        <w:numPr>
          <w:ilvl w:val="1"/>
          <w:numId w:val="10"/>
        </w:numPr>
        <w:autoSpaceDE w:val="0"/>
        <w:autoSpaceDN w:val="0"/>
        <w:adjustRightInd w:val="0"/>
        <w:spacing w:line="276" w:lineRule="auto"/>
        <w:jc w:val="both"/>
        <w:rPr>
          <w:rFonts w:eastAsia="Times New Roman" w:cs="Verdana"/>
          <w:lang w:val="en-GB" w:eastAsia="de-DE"/>
        </w:rPr>
      </w:pPr>
      <w:r w:rsidRPr="007A75B6">
        <w:rPr>
          <w:rFonts w:eastAsia="Times New Roman" w:cs="Verdana"/>
          <w:lang w:val="en-GB" w:eastAsia="de-DE"/>
        </w:rPr>
        <w:t>According to Article 15 and Article 16 of the EIOPA Regulation, EIOPA conducts analysis of costs and benefits in the policy development process. The an</w:t>
      </w:r>
      <w:r w:rsidR="00641EE8">
        <w:rPr>
          <w:rFonts w:eastAsia="Times New Roman" w:cs="Verdana"/>
          <w:lang w:val="en-GB" w:eastAsia="de-DE"/>
        </w:rPr>
        <w:t xml:space="preserve">alysis of costs and benefits </w:t>
      </w:r>
      <w:proofErr w:type="gramStart"/>
      <w:r w:rsidR="00D62083">
        <w:rPr>
          <w:rFonts w:eastAsia="Times New Roman" w:cs="Verdana"/>
          <w:lang w:val="en-GB" w:eastAsia="de-DE"/>
        </w:rPr>
        <w:t xml:space="preserve">are </w:t>
      </w:r>
      <w:r w:rsidRPr="007A75B6">
        <w:rPr>
          <w:rFonts w:eastAsia="Times New Roman" w:cs="Verdana"/>
          <w:lang w:val="en-GB" w:eastAsia="de-DE"/>
        </w:rPr>
        <w:t>undertaken</w:t>
      </w:r>
      <w:proofErr w:type="gramEnd"/>
      <w:r w:rsidRPr="007A75B6">
        <w:rPr>
          <w:rFonts w:eastAsia="Times New Roman" w:cs="Verdana"/>
          <w:lang w:val="en-GB" w:eastAsia="de-DE"/>
        </w:rPr>
        <w:t xml:space="preserve"> according to an </w:t>
      </w:r>
      <w:r w:rsidR="002C1AE9">
        <w:rPr>
          <w:rFonts w:eastAsia="Times New Roman" w:cs="Verdana"/>
          <w:lang w:val="en-GB" w:eastAsia="de-DE"/>
        </w:rPr>
        <w:t>i</w:t>
      </w:r>
      <w:r w:rsidRPr="007A75B6">
        <w:rPr>
          <w:rFonts w:eastAsia="Times New Roman" w:cs="Verdana"/>
          <w:lang w:val="en-GB" w:eastAsia="de-DE"/>
        </w:rPr>
        <w:t xml:space="preserve">mpact </w:t>
      </w:r>
      <w:r w:rsidR="002C1AE9">
        <w:rPr>
          <w:rFonts w:eastAsia="Times New Roman" w:cs="Verdana"/>
          <w:lang w:val="en-GB" w:eastAsia="de-DE"/>
        </w:rPr>
        <w:t>a</w:t>
      </w:r>
      <w:r w:rsidRPr="007A75B6">
        <w:rPr>
          <w:rFonts w:eastAsia="Times New Roman" w:cs="Verdana"/>
          <w:lang w:val="en-GB" w:eastAsia="de-DE"/>
        </w:rPr>
        <w:t>ssessment methodology.</w:t>
      </w:r>
    </w:p>
    <w:p w14:paraId="25125C20" w14:textId="79B5302A" w:rsidR="007A75B6" w:rsidRPr="007A75B6" w:rsidRDefault="007A75B6" w:rsidP="00E01A3B">
      <w:pPr>
        <w:numPr>
          <w:ilvl w:val="1"/>
          <w:numId w:val="10"/>
        </w:numPr>
        <w:autoSpaceDE w:val="0"/>
        <w:autoSpaceDN w:val="0"/>
        <w:adjustRightInd w:val="0"/>
        <w:spacing w:line="276" w:lineRule="auto"/>
        <w:jc w:val="both"/>
        <w:rPr>
          <w:rFonts w:eastAsia="Times New Roman" w:cs="Verdana"/>
          <w:lang w:val="en-GB" w:eastAsia="de-DE"/>
        </w:rPr>
      </w:pPr>
      <w:r w:rsidRPr="007A75B6">
        <w:rPr>
          <w:rFonts w:eastAsia="Times New Roman" w:cs="Verdana"/>
          <w:lang w:val="en-GB" w:eastAsia="de-DE"/>
        </w:rPr>
        <w:t xml:space="preserve">The assessment of the potential related costs and benefits from the </w:t>
      </w:r>
      <w:r w:rsidR="001E218F">
        <w:rPr>
          <w:rFonts w:eastAsia="Times New Roman" w:cs="Verdana"/>
          <w:lang w:val="en-GB" w:eastAsia="de-DE"/>
        </w:rPr>
        <w:t xml:space="preserve">draft corrections and </w:t>
      </w:r>
      <w:r w:rsidRPr="007A75B6">
        <w:rPr>
          <w:rFonts w:eastAsia="Times New Roman" w:cs="Verdana"/>
          <w:lang w:val="en-GB" w:eastAsia="de-DE"/>
        </w:rPr>
        <w:t>amendment</w:t>
      </w:r>
      <w:r w:rsidR="001E218F">
        <w:rPr>
          <w:rFonts w:eastAsia="Times New Roman" w:cs="Verdana"/>
          <w:lang w:val="en-GB" w:eastAsia="de-DE"/>
        </w:rPr>
        <w:t>s</w:t>
      </w:r>
      <w:r w:rsidRPr="007A75B6">
        <w:rPr>
          <w:rFonts w:eastAsia="Times New Roman" w:cs="Verdana"/>
          <w:lang w:val="en-GB" w:eastAsia="de-DE"/>
        </w:rPr>
        <w:t xml:space="preserve"> to the technical standards and guidelines developed by EIOPA, builds upon experience from previous and current impact assessments undertaken by the European Commission.</w:t>
      </w:r>
    </w:p>
    <w:p w14:paraId="177302D5" w14:textId="2C06F6C7" w:rsidR="001E218F" w:rsidRDefault="007A75B6" w:rsidP="00E01A3B">
      <w:pPr>
        <w:numPr>
          <w:ilvl w:val="1"/>
          <w:numId w:val="10"/>
        </w:numPr>
        <w:autoSpaceDE w:val="0"/>
        <w:autoSpaceDN w:val="0"/>
        <w:adjustRightInd w:val="0"/>
        <w:spacing w:line="276" w:lineRule="auto"/>
        <w:jc w:val="both"/>
        <w:rPr>
          <w:rFonts w:eastAsia="Times New Roman" w:cs="Verdana"/>
          <w:lang w:val="en-GB" w:eastAsia="de-DE"/>
        </w:rPr>
      </w:pPr>
      <w:r w:rsidRPr="00235663">
        <w:rPr>
          <w:rFonts w:eastAsia="Times New Roman" w:cs="Verdana"/>
          <w:lang w:val="en-GB" w:eastAsia="de-DE"/>
        </w:rPr>
        <w:t xml:space="preserve">The proposed </w:t>
      </w:r>
      <w:r w:rsidR="001E218F">
        <w:rPr>
          <w:rFonts w:eastAsia="Times New Roman" w:cs="Verdana"/>
          <w:lang w:val="en-GB" w:eastAsia="de-DE"/>
        </w:rPr>
        <w:t xml:space="preserve">corrections and </w:t>
      </w:r>
      <w:r w:rsidRPr="00235663">
        <w:rPr>
          <w:rFonts w:eastAsia="Times New Roman" w:cs="Verdana"/>
          <w:lang w:val="en-GB" w:eastAsia="de-DE"/>
        </w:rPr>
        <w:t xml:space="preserve">amendments and </w:t>
      </w:r>
      <w:r w:rsidR="002C1AE9">
        <w:rPr>
          <w:rFonts w:eastAsia="Times New Roman" w:cs="Verdana"/>
          <w:lang w:val="en-GB" w:eastAsia="de-DE"/>
        </w:rPr>
        <w:t>their</w:t>
      </w:r>
      <w:r w:rsidR="002C1AE9" w:rsidRPr="00235663">
        <w:rPr>
          <w:rFonts w:eastAsia="Times New Roman" w:cs="Verdana"/>
          <w:lang w:val="en-GB" w:eastAsia="de-DE"/>
        </w:rPr>
        <w:t xml:space="preserve"> </w:t>
      </w:r>
      <w:r w:rsidR="002C1AE9">
        <w:rPr>
          <w:rFonts w:eastAsia="Times New Roman" w:cs="Verdana"/>
          <w:lang w:val="en-GB" w:eastAsia="de-DE"/>
        </w:rPr>
        <w:t>i</w:t>
      </w:r>
      <w:r w:rsidRPr="00235663">
        <w:rPr>
          <w:rFonts w:eastAsia="Times New Roman" w:cs="Verdana"/>
          <w:lang w:val="en-GB" w:eastAsia="de-DE"/>
        </w:rPr>
        <w:t xml:space="preserve">mpact assessment </w:t>
      </w:r>
      <w:r w:rsidR="00562EA2">
        <w:rPr>
          <w:rFonts w:eastAsia="Times New Roman" w:cs="Verdana"/>
          <w:lang w:val="en-GB" w:eastAsia="de-DE"/>
        </w:rPr>
        <w:t>were</w:t>
      </w:r>
      <w:r w:rsidR="00476FD5" w:rsidRPr="00235663">
        <w:rPr>
          <w:rFonts w:eastAsia="Times New Roman" w:cs="Verdana"/>
          <w:lang w:val="en-GB" w:eastAsia="de-DE"/>
        </w:rPr>
        <w:t xml:space="preserve"> </w:t>
      </w:r>
      <w:r w:rsidRPr="00F36763">
        <w:rPr>
          <w:rFonts w:eastAsia="Times New Roman" w:cs="Verdana"/>
          <w:lang w:val="en-GB" w:eastAsia="de-DE"/>
        </w:rPr>
        <w:t xml:space="preserve">subject to </w:t>
      </w:r>
      <w:r w:rsidR="001E218F">
        <w:rPr>
          <w:rFonts w:eastAsia="Times New Roman" w:cs="Verdana"/>
          <w:lang w:val="en-GB" w:eastAsia="de-DE"/>
        </w:rPr>
        <w:t xml:space="preserve">consultation </w:t>
      </w:r>
      <w:r w:rsidR="002C1AE9">
        <w:rPr>
          <w:rFonts w:eastAsia="Times New Roman" w:cs="Verdana"/>
          <w:lang w:val="en-GB" w:eastAsia="de-DE"/>
        </w:rPr>
        <w:t xml:space="preserve">with </w:t>
      </w:r>
      <w:r w:rsidR="001E218F">
        <w:rPr>
          <w:rFonts w:eastAsia="Times New Roman" w:cs="Verdana"/>
          <w:lang w:val="en-GB" w:eastAsia="de-DE"/>
        </w:rPr>
        <w:t xml:space="preserve">stakeholders. Considering the </w:t>
      </w:r>
      <w:r w:rsidR="00185137">
        <w:rPr>
          <w:rFonts w:eastAsia="Times New Roman" w:cs="Verdana"/>
          <w:lang w:val="en-GB" w:eastAsia="de-DE"/>
        </w:rPr>
        <w:t xml:space="preserve">low </w:t>
      </w:r>
      <w:r w:rsidR="001E218F">
        <w:rPr>
          <w:rFonts w:eastAsia="Times New Roman" w:cs="Verdana"/>
          <w:lang w:val="en-GB" w:eastAsia="de-DE"/>
        </w:rPr>
        <w:t xml:space="preserve">impact of the corrections/amendments </w:t>
      </w:r>
      <w:r w:rsidR="00185137">
        <w:rPr>
          <w:rFonts w:eastAsia="Times New Roman" w:cs="Verdana"/>
          <w:lang w:val="en-GB" w:eastAsia="de-DE"/>
        </w:rPr>
        <w:t>and the convenience of includ</w:t>
      </w:r>
      <w:r w:rsidR="002C1AE9">
        <w:rPr>
          <w:rFonts w:eastAsia="Times New Roman" w:cs="Verdana"/>
          <w:lang w:val="en-GB" w:eastAsia="de-DE"/>
        </w:rPr>
        <w:t>ing</w:t>
      </w:r>
      <w:r w:rsidR="00185137">
        <w:rPr>
          <w:rFonts w:eastAsia="Times New Roman" w:cs="Verdana"/>
          <w:lang w:val="en-GB" w:eastAsia="de-DE"/>
        </w:rPr>
        <w:t xml:space="preserve"> </w:t>
      </w:r>
      <w:r w:rsidR="00152B2E">
        <w:rPr>
          <w:rFonts w:eastAsia="Times New Roman" w:cs="Verdana"/>
          <w:lang w:val="en-GB" w:eastAsia="de-DE"/>
        </w:rPr>
        <w:t>them in the Taxonomy publication planned for 15 July</w:t>
      </w:r>
      <w:r w:rsidR="001E218F">
        <w:rPr>
          <w:rFonts w:eastAsia="Times New Roman" w:cs="Verdana"/>
          <w:lang w:val="en-GB" w:eastAsia="de-DE"/>
        </w:rPr>
        <w:t xml:space="preserve"> </w:t>
      </w:r>
      <w:r w:rsidR="00152B2E">
        <w:rPr>
          <w:rFonts w:eastAsia="Times New Roman" w:cs="Verdana"/>
          <w:lang w:val="en-GB" w:eastAsia="de-DE"/>
        </w:rPr>
        <w:t xml:space="preserve">the </w:t>
      </w:r>
      <w:r w:rsidR="001E218F">
        <w:rPr>
          <w:rFonts w:eastAsia="Times New Roman" w:cs="Verdana"/>
          <w:lang w:val="en-GB" w:eastAsia="de-DE"/>
        </w:rPr>
        <w:t xml:space="preserve">consultation </w:t>
      </w:r>
      <w:r w:rsidR="00562EA2">
        <w:rPr>
          <w:rFonts w:eastAsia="Times New Roman" w:cs="Verdana"/>
          <w:lang w:val="en-GB" w:eastAsia="de-DE"/>
        </w:rPr>
        <w:t>wa</w:t>
      </w:r>
      <w:r w:rsidR="00365078">
        <w:rPr>
          <w:rFonts w:eastAsia="Times New Roman" w:cs="Verdana"/>
          <w:lang w:val="en-GB" w:eastAsia="de-DE"/>
        </w:rPr>
        <w:t xml:space="preserve">s </w:t>
      </w:r>
      <w:r w:rsidR="001E218F">
        <w:rPr>
          <w:rFonts w:eastAsia="Times New Roman" w:cs="Verdana"/>
          <w:lang w:val="en-GB" w:eastAsia="de-DE"/>
        </w:rPr>
        <w:t xml:space="preserve">done through the EIOPA IRSG and the </w:t>
      </w:r>
      <w:r w:rsidR="001E218F" w:rsidRPr="001E218F">
        <w:rPr>
          <w:rFonts w:eastAsia="Times New Roman" w:cs="Verdana"/>
          <w:lang w:val="en-GB" w:eastAsia="de-DE"/>
        </w:rPr>
        <w:t xml:space="preserve">organisation of an open public event </w:t>
      </w:r>
      <w:r w:rsidR="00562EA2">
        <w:rPr>
          <w:rFonts w:eastAsia="Times New Roman" w:cs="Verdana"/>
          <w:lang w:val="en-GB" w:eastAsia="de-DE"/>
        </w:rPr>
        <w:t xml:space="preserve">that occurred </w:t>
      </w:r>
      <w:r w:rsidR="001E218F" w:rsidRPr="001E218F">
        <w:rPr>
          <w:rFonts w:eastAsia="Times New Roman" w:cs="Verdana"/>
          <w:lang w:val="en-GB" w:eastAsia="de-DE"/>
        </w:rPr>
        <w:t>in April 2017</w:t>
      </w:r>
      <w:r w:rsidR="00152B2E">
        <w:rPr>
          <w:rFonts w:eastAsia="Times New Roman" w:cs="Verdana"/>
          <w:lang w:val="en-GB" w:eastAsia="de-DE"/>
        </w:rPr>
        <w:t>.</w:t>
      </w:r>
      <w:r w:rsidR="001E218F" w:rsidRPr="001E218F">
        <w:rPr>
          <w:rFonts w:eastAsia="Times New Roman" w:cs="Verdana"/>
          <w:lang w:val="en-GB" w:eastAsia="de-DE"/>
        </w:rPr>
        <w:t xml:space="preserve"> </w:t>
      </w:r>
      <w:r w:rsidR="00152B2E">
        <w:rPr>
          <w:rFonts w:eastAsia="Times New Roman" w:cs="Verdana"/>
          <w:lang w:val="en-GB" w:eastAsia="de-DE"/>
        </w:rPr>
        <w:t>In th</w:t>
      </w:r>
      <w:r w:rsidR="002C1AE9">
        <w:rPr>
          <w:rFonts w:eastAsia="Times New Roman" w:cs="Verdana"/>
          <w:lang w:val="en-GB" w:eastAsia="de-DE"/>
        </w:rPr>
        <w:t xml:space="preserve">e </w:t>
      </w:r>
      <w:r w:rsidR="00470D13">
        <w:rPr>
          <w:rFonts w:eastAsia="Times New Roman" w:cs="Verdana"/>
          <w:lang w:val="en-GB" w:eastAsia="de-DE"/>
        </w:rPr>
        <w:t>public</w:t>
      </w:r>
      <w:r w:rsidR="00152B2E">
        <w:rPr>
          <w:rFonts w:eastAsia="Times New Roman" w:cs="Verdana"/>
          <w:lang w:val="en-GB" w:eastAsia="de-DE"/>
        </w:rPr>
        <w:t xml:space="preserve"> </w:t>
      </w:r>
      <w:r w:rsidR="007A53D0">
        <w:rPr>
          <w:rFonts w:eastAsia="Times New Roman" w:cs="Verdana"/>
          <w:lang w:val="en-GB" w:eastAsia="de-DE"/>
        </w:rPr>
        <w:t>event,</w:t>
      </w:r>
      <w:r w:rsidR="00152B2E">
        <w:rPr>
          <w:rFonts w:eastAsia="Times New Roman" w:cs="Verdana"/>
          <w:lang w:val="en-GB" w:eastAsia="de-DE"/>
        </w:rPr>
        <w:t xml:space="preserve"> </w:t>
      </w:r>
      <w:r w:rsidR="001E218F" w:rsidRPr="001E218F">
        <w:rPr>
          <w:rFonts w:eastAsia="Times New Roman" w:cs="Verdana"/>
          <w:lang w:val="en-GB" w:eastAsia="de-DE"/>
        </w:rPr>
        <w:t>EIOPA communicat</w:t>
      </w:r>
      <w:r w:rsidR="00365078">
        <w:rPr>
          <w:rFonts w:eastAsia="Times New Roman" w:cs="Verdana"/>
          <w:lang w:val="en-GB" w:eastAsia="de-DE"/>
        </w:rPr>
        <w:t>e</w:t>
      </w:r>
      <w:r w:rsidR="00562EA2">
        <w:rPr>
          <w:rFonts w:eastAsia="Times New Roman" w:cs="Verdana"/>
          <w:lang w:val="en-GB" w:eastAsia="de-DE"/>
        </w:rPr>
        <w:t>d</w:t>
      </w:r>
      <w:r w:rsidR="001E218F" w:rsidRPr="001E218F">
        <w:rPr>
          <w:rFonts w:eastAsia="Times New Roman" w:cs="Verdana"/>
          <w:lang w:val="en-GB" w:eastAsia="de-DE"/>
        </w:rPr>
        <w:t xml:space="preserve"> to </w:t>
      </w:r>
      <w:r w:rsidR="00152B2E">
        <w:rPr>
          <w:rFonts w:eastAsia="Times New Roman" w:cs="Verdana"/>
          <w:lang w:val="en-GB" w:eastAsia="de-DE"/>
        </w:rPr>
        <w:t xml:space="preserve">the </w:t>
      </w:r>
      <w:r w:rsidR="001E218F" w:rsidRPr="001E218F">
        <w:rPr>
          <w:rFonts w:eastAsia="Times New Roman" w:cs="Verdana"/>
          <w:lang w:val="en-GB" w:eastAsia="de-DE"/>
        </w:rPr>
        <w:t xml:space="preserve">relevant stakeholders (mainly industry and other stakeholders) the process and </w:t>
      </w:r>
      <w:r w:rsidR="00152B2E">
        <w:rPr>
          <w:rFonts w:eastAsia="Times New Roman" w:cs="Verdana"/>
          <w:lang w:val="en-GB" w:eastAsia="de-DE"/>
        </w:rPr>
        <w:t xml:space="preserve">the detailed </w:t>
      </w:r>
      <w:r w:rsidR="001E218F" w:rsidRPr="001E218F">
        <w:rPr>
          <w:rFonts w:eastAsia="Times New Roman" w:cs="Verdana"/>
          <w:lang w:val="en-GB" w:eastAsia="de-DE"/>
        </w:rPr>
        <w:t>content of the corrections/amendments. After th</w:t>
      </w:r>
      <w:r w:rsidR="002C1AE9">
        <w:rPr>
          <w:rFonts w:eastAsia="Times New Roman" w:cs="Verdana"/>
          <w:lang w:val="en-GB" w:eastAsia="de-DE"/>
        </w:rPr>
        <w:t>e</w:t>
      </w:r>
      <w:r w:rsidR="001E218F" w:rsidRPr="001E218F">
        <w:rPr>
          <w:rFonts w:eastAsia="Times New Roman" w:cs="Verdana"/>
          <w:lang w:val="en-GB" w:eastAsia="de-DE"/>
        </w:rPr>
        <w:t xml:space="preserve"> event</w:t>
      </w:r>
      <w:r w:rsidR="00D62083">
        <w:rPr>
          <w:rFonts w:eastAsia="Times New Roman" w:cs="Verdana"/>
          <w:lang w:val="en-GB" w:eastAsia="de-DE"/>
        </w:rPr>
        <w:t>,</w:t>
      </w:r>
      <w:r w:rsidR="001E218F" w:rsidRPr="001E218F">
        <w:rPr>
          <w:rFonts w:eastAsia="Times New Roman" w:cs="Verdana"/>
          <w:lang w:val="en-GB" w:eastAsia="de-DE"/>
        </w:rPr>
        <w:t xml:space="preserve"> the relevant documentation </w:t>
      </w:r>
      <w:proofErr w:type="gramStart"/>
      <w:r w:rsidR="001E218F" w:rsidRPr="001E218F">
        <w:rPr>
          <w:rFonts w:eastAsia="Times New Roman" w:cs="Verdana"/>
          <w:lang w:val="en-GB" w:eastAsia="de-DE"/>
        </w:rPr>
        <w:t>w</w:t>
      </w:r>
      <w:r w:rsidR="00562EA2">
        <w:rPr>
          <w:rFonts w:eastAsia="Times New Roman" w:cs="Verdana"/>
          <w:lang w:val="en-GB" w:eastAsia="de-DE"/>
        </w:rPr>
        <w:t>as</w:t>
      </w:r>
      <w:r w:rsidR="00365078">
        <w:rPr>
          <w:rFonts w:eastAsia="Times New Roman" w:cs="Verdana"/>
          <w:lang w:val="en-GB" w:eastAsia="de-DE"/>
        </w:rPr>
        <w:t xml:space="preserve"> </w:t>
      </w:r>
      <w:r w:rsidR="001E218F" w:rsidRPr="001E218F">
        <w:rPr>
          <w:rFonts w:eastAsia="Times New Roman" w:cs="Verdana"/>
          <w:lang w:val="en-GB" w:eastAsia="de-DE"/>
        </w:rPr>
        <w:t>made</w:t>
      </w:r>
      <w:proofErr w:type="gramEnd"/>
      <w:r w:rsidR="001E218F" w:rsidRPr="001E218F">
        <w:rPr>
          <w:rFonts w:eastAsia="Times New Roman" w:cs="Verdana"/>
          <w:lang w:val="en-GB" w:eastAsia="de-DE"/>
        </w:rPr>
        <w:t xml:space="preserve"> available in EIOPA</w:t>
      </w:r>
      <w:r w:rsidR="002C1AE9">
        <w:rPr>
          <w:rFonts w:eastAsia="Times New Roman" w:cs="Verdana"/>
          <w:lang w:val="en-GB" w:eastAsia="de-DE"/>
        </w:rPr>
        <w:t>’s</w:t>
      </w:r>
      <w:r w:rsidR="001E218F" w:rsidRPr="001E218F">
        <w:rPr>
          <w:rFonts w:eastAsia="Times New Roman" w:cs="Verdana"/>
          <w:lang w:val="en-GB" w:eastAsia="de-DE"/>
        </w:rPr>
        <w:t xml:space="preserve"> </w:t>
      </w:r>
      <w:r w:rsidR="002C1AE9">
        <w:rPr>
          <w:rFonts w:eastAsia="Times New Roman" w:cs="Verdana"/>
          <w:lang w:val="en-GB" w:eastAsia="de-DE"/>
        </w:rPr>
        <w:t>w</w:t>
      </w:r>
      <w:r w:rsidR="001E218F" w:rsidRPr="001E218F">
        <w:rPr>
          <w:rFonts w:eastAsia="Times New Roman" w:cs="Verdana"/>
          <w:lang w:val="en-GB" w:eastAsia="de-DE"/>
        </w:rPr>
        <w:t xml:space="preserve">ebsite and stakeholders provide </w:t>
      </w:r>
      <w:bookmarkStart w:id="1" w:name="_GoBack"/>
      <w:bookmarkEnd w:id="1"/>
      <w:r w:rsidR="001E218F" w:rsidRPr="001E218F">
        <w:rPr>
          <w:rFonts w:eastAsia="Times New Roman" w:cs="Verdana"/>
          <w:lang w:val="en-GB" w:eastAsia="de-DE"/>
        </w:rPr>
        <w:t>comments.</w:t>
      </w:r>
      <w:r w:rsidR="00562EA2">
        <w:rPr>
          <w:rFonts w:eastAsia="Times New Roman" w:cs="Verdana"/>
          <w:lang w:val="en-GB" w:eastAsia="de-DE"/>
        </w:rPr>
        <w:t xml:space="preserve"> EIOPA received comments from main industry associations but also from one individual company and some individuals. </w:t>
      </w:r>
    </w:p>
    <w:p w14:paraId="585F0D49" w14:textId="1E001F88" w:rsidR="00370CD8" w:rsidRPr="00370CD8" w:rsidRDefault="001E218F" w:rsidP="00E01A3B">
      <w:pPr>
        <w:numPr>
          <w:ilvl w:val="1"/>
          <w:numId w:val="10"/>
        </w:numPr>
        <w:autoSpaceDE w:val="0"/>
        <w:autoSpaceDN w:val="0"/>
        <w:adjustRightInd w:val="0"/>
        <w:spacing w:line="276" w:lineRule="auto"/>
        <w:jc w:val="both"/>
        <w:rPr>
          <w:rFonts w:cs="Verdana"/>
          <w:lang w:val="en-GB" w:eastAsia="de-DE"/>
        </w:rPr>
      </w:pPr>
      <w:r>
        <w:rPr>
          <w:rFonts w:eastAsia="Times New Roman" w:cs="Verdana"/>
          <w:lang w:val="en-GB" w:eastAsia="de-DE"/>
        </w:rPr>
        <w:t xml:space="preserve">It </w:t>
      </w:r>
      <w:proofErr w:type="gramStart"/>
      <w:r>
        <w:rPr>
          <w:rFonts w:eastAsia="Times New Roman" w:cs="Verdana"/>
          <w:lang w:val="en-GB" w:eastAsia="de-DE"/>
        </w:rPr>
        <w:t>should be noted</w:t>
      </w:r>
      <w:proofErr w:type="gramEnd"/>
      <w:r>
        <w:rPr>
          <w:rFonts w:eastAsia="Times New Roman" w:cs="Verdana"/>
          <w:lang w:val="en-GB" w:eastAsia="de-DE"/>
        </w:rPr>
        <w:t xml:space="preserve"> that the draft amendments </w:t>
      </w:r>
      <w:r w:rsidRPr="001E218F">
        <w:rPr>
          <w:rFonts w:eastAsia="Times New Roman" w:cs="Verdana"/>
          <w:lang w:val="en-GB" w:eastAsia="de-DE"/>
        </w:rPr>
        <w:t xml:space="preserve">focus </w:t>
      </w:r>
      <w:r w:rsidR="001E1B01">
        <w:rPr>
          <w:rFonts w:eastAsia="Times New Roman" w:cs="Verdana"/>
          <w:lang w:val="en-GB" w:eastAsia="de-DE"/>
        </w:rPr>
        <w:t xml:space="preserve">mostly </w:t>
      </w:r>
      <w:r w:rsidRPr="001E218F">
        <w:rPr>
          <w:rFonts w:eastAsia="Times New Roman" w:cs="Verdana"/>
          <w:lang w:val="en-GB" w:eastAsia="de-DE"/>
        </w:rPr>
        <w:t>on corrections</w:t>
      </w:r>
      <w:r w:rsidR="001E1B01">
        <w:rPr>
          <w:rFonts w:eastAsia="Times New Roman" w:cs="Verdana"/>
          <w:lang w:val="en-GB" w:eastAsia="de-DE"/>
        </w:rPr>
        <w:t xml:space="preserve">, even if some of them will be considered as </w:t>
      </w:r>
      <w:r>
        <w:rPr>
          <w:rFonts w:eastAsia="Times New Roman" w:cs="Verdana"/>
          <w:lang w:val="en-GB" w:eastAsia="de-DE"/>
        </w:rPr>
        <w:t>amendments</w:t>
      </w:r>
      <w:r w:rsidR="00365078">
        <w:rPr>
          <w:rFonts w:eastAsia="Times New Roman" w:cs="Verdana"/>
          <w:lang w:val="en-GB" w:eastAsia="de-DE"/>
        </w:rPr>
        <w:t xml:space="preserve">. They </w:t>
      </w:r>
      <w:r w:rsidR="00370CD8">
        <w:rPr>
          <w:rFonts w:eastAsia="Times New Roman" w:cs="Verdana"/>
          <w:lang w:val="en-GB" w:eastAsia="de-DE"/>
        </w:rPr>
        <w:t xml:space="preserve">aim to improve </w:t>
      </w:r>
      <w:r w:rsidR="00370CD8">
        <w:rPr>
          <w:lang w:val="en-GB"/>
        </w:rPr>
        <w:t>the</w:t>
      </w:r>
      <w:r w:rsidR="00370CD8" w:rsidRPr="00370CD8">
        <w:rPr>
          <w:lang w:val="en-GB"/>
        </w:rPr>
        <w:t xml:space="preserve"> understanding of the current requirements, </w:t>
      </w:r>
      <w:r w:rsidR="00370CD8">
        <w:rPr>
          <w:lang w:val="en-GB"/>
        </w:rPr>
        <w:t xml:space="preserve">the </w:t>
      </w:r>
      <w:r w:rsidR="00370CD8" w:rsidRPr="00370CD8">
        <w:rPr>
          <w:lang w:val="en-GB"/>
        </w:rPr>
        <w:t xml:space="preserve">consistent application of technical standard and </w:t>
      </w:r>
      <w:r w:rsidR="00152B2E">
        <w:rPr>
          <w:lang w:val="en-GB"/>
        </w:rPr>
        <w:t xml:space="preserve">to facilitate the reporting </w:t>
      </w:r>
      <w:r w:rsidR="002C1AE9">
        <w:rPr>
          <w:lang w:val="en-GB"/>
        </w:rPr>
        <w:t>as well as</w:t>
      </w:r>
      <w:r w:rsidR="00152B2E">
        <w:rPr>
          <w:lang w:val="en-GB"/>
        </w:rPr>
        <w:t xml:space="preserve"> </w:t>
      </w:r>
      <w:r w:rsidR="00D62083">
        <w:rPr>
          <w:lang w:val="en-GB"/>
        </w:rPr>
        <w:t>improv</w:t>
      </w:r>
      <w:r w:rsidR="001E1B01">
        <w:rPr>
          <w:lang w:val="en-GB"/>
        </w:rPr>
        <w:t>ing</w:t>
      </w:r>
      <w:r w:rsidR="00370CD8">
        <w:rPr>
          <w:lang w:val="en-GB"/>
        </w:rPr>
        <w:t xml:space="preserve"> the </w:t>
      </w:r>
      <w:r w:rsidR="00370CD8" w:rsidRPr="00370CD8">
        <w:rPr>
          <w:lang w:val="en-GB"/>
        </w:rPr>
        <w:t>quality of the information</w:t>
      </w:r>
      <w:r w:rsidR="00370CD8">
        <w:rPr>
          <w:lang w:val="en-GB"/>
        </w:rPr>
        <w:t xml:space="preserve"> reported</w:t>
      </w:r>
      <w:r w:rsidR="00370CD8" w:rsidRPr="00370CD8">
        <w:rPr>
          <w:lang w:val="en-GB"/>
        </w:rPr>
        <w:t>.</w:t>
      </w:r>
      <w:r w:rsidR="00370CD8">
        <w:rPr>
          <w:lang w:val="en-GB"/>
        </w:rPr>
        <w:t xml:space="preserve"> </w:t>
      </w:r>
      <w:r w:rsidR="002C1AE9">
        <w:rPr>
          <w:lang w:val="en-GB"/>
        </w:rPr>
        <w:t xml:space="preserve">The </w:t>
      </w:r>
      <w:r w:rsidR="00470D13">
        <w:rPr>
          <w:lang w:val="en-GB"/>
        </w:rPr>
        <w:t xml:space="preserve">corrections proposed </w:t>
      </w:r>
      <w:r w:rsidR="00370CD8">
        <w:rPr>
          <w:lang w:val="en-GB"/>
        </w:rPr>
        <w:t>do not reflect a detailed review of the requirements</w:t>
      </w:r>
      <w:r w:rsidR="007A53D0">
        <w:rPr>
          <w:lang w:val="en-GB"/>
        </w:rPr>
        <w:t>, which</w:t>
      </w:r>
      <w:r w:rsidR="00152B2E">
        <w:rPr>
          <w:lang w:val="en-GB"/>
        </w:rPr>
        <w:t xml:space="preserve"> </w:t>
      </w:r>
      <w:r w:rsidR="00370CD8">
        <w:rPr>
          <w:lang w:val="en-GB"/>
        </w:rPr>
        <w:t xml:space="preserve">should </w:t>
      </w:r>
      <w:proofErr w:type="gramStart"/>
      <w:r w:rsidR="00370CD8">
        <w:rPr>
          <w:lang w:val="en-GB"/>
        </w:rPr>
        <w:t>be planned</w:t>
      </w:r>
      <w:proofErr w:type="gramEnd"/>
      <w:r w:rsidR="00370CD8">
        <w:rPr>
          <w:lang w:val="en-GB"/>
        </w:rPr>
        <w:t xml:space="preserve"> for the next years and be done in close cooperation with the industry reflect</w:t>
      </w:r>
      <w:r w:rsidR="00082AEC">
        <w:rPr>
          <w:lang w:val="en-GB"/>
        </w:rPr>
        <w:t>ing</w:t>
      </w:r>
      <w:r w:rsidR="00370CD8">
        <w:rPr>
          <w:lang w:val="en-GB"/>
        </w:rPr>
        <w:t xml:space="preserve"> the lessons learned from the annual submission of information and </w:t>
      </w:r>
      <w:r w:rsidR="002C1AE9">
        <w:rPr>
          <w:lang w:val="en-GB"/>
        </w:rPr>
        <w:t xml:space="preserve">from the </w:t>
      </w:r>
      <w:r w:rsidR="00370CD8">
        <w:rPr>
          <w:lang w:val="en-GB"/>
        </w:rPr>
        <w:t xml:space="preserve">use of information </w:t>
      </w:r>
      <w:r w:rsidR="00082AEC">
        <w:rPr>
          <w:lang w:val="en-GB"/>
        </w:rPr>
        <w:t xml:space="preserve">by supervisors </w:t>
      </w:r>
      <w:r w:rsidR="00370CD8">
        <w:rPr>
          <w:lang w:val="en-GB"/>
        </w:rPr>
        <w:t xml:space="preserve">in the Supervisory Review Process. </w:t>
      </w:r>
    </w:p>
    <w:p w14:paraId="0BB52CB9" w14:textId="671A325D" w:rsidR="00235663" w:rsidRPr="00F36763" w:rsidRDefault="00F36763" w:rsidP="00E01A3B">
      <w:pPr>
        <w:numPr>
          <w:ilvl w:val="1"/>
          <w:numId w:val="10"/>
        </w:numPr>
        <w:autoSpaceDE w:val="0"/>
        <w:autoSpaceDN w:val="0"/>
        <w:adjustRightInd w:val="0"/>
        <w:spacing w:line="276" w:lineRule="auto"/>
        <w:jc w:val="both"/>
        <w:rPr>
          <w:rFonts w:eastAsia="Times New Roman" w:cs="Verdana"/>
          <w:lang w:val="en-GB" w:eastAsia="de-DE"/>
        </w:rPr>
      </w:pPr>
      <w:r>
        <w:rPr>
          <w:rFonts w:eastAsia="Times New Roman" w:cs="Verdana"/>
          <w:lang w:val="en-GB" w:eastAsia="de-DE"/>
        </w:rPr>
        <w:t>The consultation included specific question</w:t>
      </w:r>
      <w:r w:rsidR="001E218F">
        <w:rPr>
          <w:rFonts w:eastAsia="Times New Roman" w:cs="Verdana"/>
          <w:lang w:val="en-GB" w:eastAsia="de-DE"/>
        </w:rPr>
        <w:t>s</w:t>
      </w:r>
      <w:r>
        <w:rPr>
          <w:rFonts w:eastAsia="Times New Roman" w:cs="Verdana"/>
          <w:lang w:val="en-GB" w:eastAsia="de-DE"/>
        </w:rPr>
        <w:t xml:space="preserve"> to stakeholders regarding </w:t>
      </w:r>
      <w:r w:rsidR="001E218F">
        <w:rPr>
          <w:rFonts w:eastAsia="Times New Roman" w:cs="Verdana"/>
          <w:lang w:val="en-GB" w:eastAsia="de-DE"/>
        </w:rPr>
        <w:t xml:space="preserve">some of the amendments due to </w:t>
      </w:r>
      <w:r w:rsidR="007A2F36">
        <w:rPr>
          <w:rFonts w:eastAsia="Times New Roman" w:cs="Verdana"/>
          <w:lang w:val="en-GB" w:eastAsia="de-DE"/>
        </w:rPr>
        <w:t xml:space="preserve">their </w:t>
      </w:r>
      <w:r w:rsidR="001E218F">
        <w:rPr>
          <w:rFonts w:eastAsia="Times New Roman" w:cs="Verdana"/>
          <w:lang w:val="en-GB" w:eastAsia="de-DE"/>
        </w:rPr>
        <w:t>importance.</w:t>
      </w:r>
      <w:r>
        <w:rPr>
          <w:rFonts w:eastAsia="Times New Roman" w:cs="Verdana"/>
          <w:lang w:val="en-GB" w:eastAsia="de-DE"/>
        </w:rPr>
        <w:t xml:space="preserve"> </w:t>
      </w:r>
    </w:p>
    <w:p w14:paraId="25125C22" w14:textId="77777777" w:rsidR="007A75B6" w:rsidRPr="00EE1105" w:rsidRDefault="007A75B6" w:rsidP="00EE1105">
      <w:pPr>
        <w:pStyle w:val="Heading2"/>
        <w:rPr>
          <w:lang w:val="en-GB" w:eastAsia="en-GB"/>
        </w:rPr>
      </w:pPr>
      <w:bookmarkStart w:id="2" w:name="_Toc403734687"/>
      <w:bookmarkStart w:id="3" w:name="_Toc403734713"/>
      <w:r w:rsidRPr="00EE1105">
        <w:rPr>
          <w:lang w:val="en-GB" w:eastAsia="en-GB"/>
        </w:rPr>
        <w:lastRenderedPageBreak/>
        <w:t>Section 2: Problem Definition</w:t>
      </w:r>
      <w:bookmarkEnd w:id="2"/>
      <w:bookmarkEnd w:id="3"/>
    </w:p>
    <w:p w14:paraId="3096BF33" w14:textId="35E6FCF1" w:rsidR="00082AEC" w:rsidRDefault="001E218F" w:rsidP="00E01A3B">
      <w:pPr>
        <w:numPr>
          <w:ilvl w:val="1"/>
          <w:numId w:val="10"/>
        </w:numPr>
        <w:autoSpaceDE w:val="0"/>
        <w:autoSpaceDN w:val="0"/>
        <w:adjustRightInd w:val="0"/>
        <w:spacing w:line="276" w:lineRule="auto"/>
        <w:jc w:val="both"/>
        <w:rPr>
          <w:rFonts w:eastAsia="Times New Roman" w:cs="Verdana"/>
          <w:lang w:val="en-GB" w:eastAsia="de-DE"/>
        </w:rPr>
      </w:pPr>
      <w:proofErr w:type="gramStart"/>
      <w:r w:rsidRPr="001E218F">
        <w:rPr>
          <w:rFonts w:eastAsia="Times New Roman" w:cs="Verdana"/>
          <w:lang w:val="en-GB" w:eastAsia="de-DE"/>
        </w:rPr>
        <w:t>On the last months</w:t>
      </w:r>
      <w:r w:rsidR="007A53D0">
        <w:rPr>
          <w:rFonts w:eastAsia="Times New Roman" w:cs="Verdana"/>
          <w:lang w:val="en-GB" w:eastAsia="de-DE"/>
        </w:rPr>
        <w:t>,</w:t>
      </w:r>
      <w:r w:rsidRPr="001E218F">
        <w:rPr>
          <w:rFonts w:eastAsia="Times New Roman" w:cs="Verdana"/>
          <w:lang w:val="en-GB" w:eastAsia="de-DE"/>
        </w:rPr>
        <w:t xml:space="preserve"> EIOPA </w:t>
      </w:r>
      <w:r w:rsidR="002C1AE9" w:rsidRPr="001E218F">
        <w:rPr>
          <w:rFonts w:eastAsia="Times New Roman" w:cs="Verdana"/>
          <w:lang w:val="en-GB" w:eastAsia="de-DE"/>
        </w:rPr>
        <w:t>ha</w:t>
      </w:r>
      <w:r w:rsidR="002C1AE9">
        <w:rPr>
          <w:rFonts w:eastAsia="Times New Roman" w:cs="Verdana"/>
          <w:lang w:val="en-GB" w:eastAsia="de-DE"/>
        </w:rPr>
        <w:t>s</w:t>
      </w:r>
      <w:r w:rsidR="002C1AE9" w:rsidRPr="001E218F">
        <w:rPr>
          <w:rFonts w:eastAsia="Times New Roman" w:cs="Verdana"/>
          <w:lang w:val="en-GB" w:eastAsia="de-DE"/>
        </w:rPr>
        <w:t xml:space="preserve"> </w:t>
      </w:r>
      <w:r w:rsidRPr="001E218F">
        <w:rPr>
          <w:rFonts w:eastAsia="Times New Roman" w:cs="Verdana"/>
          <w:lang w:val="en-GB" w:eastAsia="de-DE"/>
        </w:rPr>
        <w:t xml:space="preserve">received a number of inputs addressing mistakes </w:t>
      </w:r>
      <w:r w:rsidR="007A1021">
        <w:rPr>
          <w:rFonts w:eastAsia="Times New Roman" w:cs="Verdana"/>
          <w:lang w:val="en-GB" w:eastAsia="de-DE"/>
        </w:rPr>
        <w:t xml:space="preserve">found </w:t>
      </w:r>
      <w:r w:rsidRPr="001E218F">
        <w:rPr>
          <w:rFonts w:eastAsia="Times New Roman" w:cs="Verdana"/>
          <w:lang w:val="en-GB" w:eastAsia="de-DE"/>
        </w:rPr>
        <w:t xml:space="preserve">in the </w:t>
      </w:r>
      <w:r w:rsidR="00CA286C" w:rsidRPr="00CA286C">
        <w:rPr>
          <w:rFonts w:eastAsia="Times New Roman" w:cs="Verdana"/>
          <w:lang w:val="en-GB" w:eastAsia="de-DE"/>
        </w:rPr>
        <w:t xml:space="preserve">Commission Implementing Regulation (EU) 2015/2450 with regard to the templates for the submission of information to the supervisory authorities and </w:t>
      </w:r>
      <w:r w:rsidR="002C1AE9">
        <w:rPr>
          <w:rFonts w:eastAsia="Times New Roman" w:cs="Verdana"/>
          <w:lang w:val="en-GB" w:eastAsia="de-DE"/>
        </w:rPr>
        <w:t xml:space="preserve">in the </w:t>
      </w:r>
      <w:r w:rsidR="00CA286C" w:rsidRPr="00CA286C">
        <w:rPr>
          <w:rFonts w:eastAsia="Times New Roman" w:cs="Verdana"/>
          <w:lang w:val="en-GB" w:eastAsia="de-DE"/>
        </w:rPr>
        <w:t>Commission Implementing Regulation (EU) 2015/2452 of 2 December 2015</w:t>
      </w:r>
      <w:r w:rsidR="007A53D0">
        <w:rPr>
          <w:rFonts w:eastAsia="Times New Roman" w:cs="Verdana"/>
          <w:lang w:val="en-GB" w:eastAsia="de-DE"/>
        </w:rPr>
        <w:t>,</w:t>
      </w:r>
      <w:r w:rsidR="00CA286C" w:rsidRPr="00CA286C">
        <w:rPr>
          <w:rFonts w:eastAsia="Times New Roman" w:cs="Verdana"/>
          <w:lang w:val="en-GB" w:eastAsia="de-DE"/>
        </w:rPr>
        <w:t xml:space="preserve"> laying down implementing technical standards with regard to the procedures, formats and templates of the solvency and financial condition report </w:t>
      </w:r>
      <w:r w:rsidR="00082AEC">
        <w:rPr>
          <w:rFonts w:eastAsia="Times New Roman" w:cs="Verdana"/>
          <w:lang w:val="en-GB" w:eastAsia="de-DE"/>
        </w:rPr>
        <w:t>(</w:t>
      </w:r>
      <w:r w:rsidRPr="001E218F">
        <w:rPr>
          <w:rFonts w:eastAsia="Times New Roman" w:cs="Verdana"/>
          <w:lang w:val="en-GB" w:eastAsia="de-DE"/>
        </w:rPr>
        <w:t>ITS</w:t>
      </w:r>
      <w:r w:rsidR="00082AEC">
        <w:rPr>
          <w:rFonts w:eastAsia="Times New Roman" w:cs="Verdana"/>
          <w:lang w:val="en-GB" w:eastAsia="de-DE"/>
        </w:rPr>
        <w:t xml:space="preserve"> on Reporting and ITS on Disclosure)</w:t>
      </w:r>
      <w:r w:rsidR="007A53D0">
        <w:rPr>
          <w:rFonts w:eastAsia="Times New Roman" w:cs="Verdana"/>
          <w:lang w:val="en-GB" w:eastAsia="de-DE"/>
        </w:rPr>
        <w:t>.</w:t>
      </w:r>
      <w:proofErr w:type="gramEnd"/>
      <w:r w:rsidRPr="001E218F">
        <w:rPr>
          <w:rFonts w:eastAsia="Times New Roman" w:cs="Verdana"/>
          <w:lang w:val="en-GB" w:eastAsia="de-DE"/>
        </w:rPr>
        <w:t xml:space="preserve"> </w:t>
      </w:r>
      <w:r w:rsidR="001E1B01">
        <w:rPr>
          <w:rFonts w:eastAsia="Times New Roman" w:cs="Verdana"/>
          <w:lang w:val="en-GB" w:eastAsia="de-DE"/>
        </w:rPr>
        <w:t>Th</w:t>
      </w:r>
      <w:r w:rsidR="00237E49">
        <w:rPr>
          <w:rFonts w:eastAsia="Times New Roman" w:cs="Verdana"/>
          <w:lang w:val="en-GB" w:eastAsia="de-DE"/>
        </w:rPr>
        <w:t>e</w:t>
      </w:r>
      <w:r w:rsidR="001E1B01">
        <w:rPr>
          <w:rFonts w:eastAsia="Times New Roman" w:cs="Verdana"/>
          <w:lang w:val="en-GB" w:eastAsia="de-DE"/>
        </w:rPr>
        <w:t xml:space="preserve"> mistakes are m</w:t>
      </w:r>
      <w:r w:rsidRPr="001E218F">
        <w:rPr>
          <w:rFonts w:eastAsia="Times New Roman" w:cs="Verdana"/>
          <w:lang w:val="en-GB" w:eastAsia="de-DE"/>
        </w:rPr>
        <w:t xml:space="preserve">ostly on the </w:t>
      </w:r>
      <w:r w:rsidR="002C1AE9">
        <w:rPr>
          <w:rFonts w:eastAsia="Times New Roman" w:cs="Verdana"/>
          <w:lang w:val="en-GB" w:eastAsia="de-DE"/>
        </w:rPr>
        <w:t>i</w:t>
      </w:r>
      <w:r w:rsidRPr="001E218F">
        <w:rPr>
          <w:rFonts w:eastAsia="Times New Roman" w:cs="Verdana"/>
          <w:lang w:val="en-GB" w:eastAsia="de-DE"/>
        </w:rPr>
        <w:t>nstructions</w:t>
      </w:r>
      <w:r w:rsidR="00082AEC">
        <w:rPr>
          <w:rFonts w:eastAsia="Times New Roman" w:cs="Verdana"/>
          <w:lang w:val="en-GB" w:eastAsia="de-DE"/>
        </w:rPr>
        <w:t xml:space="preserve"> (Annexes 2 and 3)</w:t>
      </w:r>
      <w:r w:rsidRPr="001E218F">
        <w:rPr>
          <w:rFonts w:eastAsia="Times New Roman" w:cs="Verdana"/>
          <w:lang w:val="en-GB" w:eastAsia="de-DE"/>
        </w:rPr>
        <w:t xml:space="preserve">. These inputs </w:t>
      </w:r>
      <w:r w:rsidR="002C1AE9">
        <w:rPr>
          <w:rFonts w:eastAsia="Times New Roman" w:cs="Verdana"/>
          <w:lang w:val="en-GB" w:eastAsia="de-DE"/>
        </w:rPr>
        <w:t xml:space="preserve">have </w:t>
      </w:r>
      <w:r w:rsidRPr="001E218F">
        <w:rPr>
          <w:rFonts w:eastAsia="Times New Roman" w:cs="Verdana"/>
          <w:lang w:val="en-GB" w:eastAsia="de-DE"/>
        </w:rPr>
        <w:t>arrive</w:t>
      </w:r>
      <w:r w:rsidR="002C1AE9">
        <w:rPr>
          <w:rFonts w:eastAsia="Times New Roman" w:cs="Verdana"/>
          <w:lang w:val="en-GB" w:eastAsia="de-DE"/>
        </w:rPr>
        <w:t>d</w:t>
      </w:r>
      <w:r w:rsidRPr="001E218F">
        <w:rPr>
          <w:rFonts w:eastAsia="Times New Roman" w:cs="Verdana"/>
          <w:lang w:val="en-GB" w:eastAsia="de-DE"/>
        </w:rPr>
        <w:t xml:space="preserve"> to EIOPA through the Q&amp;A tool on regulation, direct </w:t>
      </w:r>
      <w:r w:rsidR="002C1AE9">
        <w:rPr>
          <w:rFonts w:eastAsia="Times New Roman" w:cs="Verdana"/>
          <w:lang w:val="en-GB" w:eastAsia="de-DE"/>
        </w:rPr>
        <w:t>e-</w:t>
      </w:r>
      <w:r w:rsidRPr="001E218F">
        <w:rPr>
          <w:rFonts w:eastAsia="Times New Roman" w:cs="Verdana"/>
          <w:lang w:val="en-GB" w:eastAsia="de-DE"/>
        </w:rPr>
        <w:t xml:space="preserve">mails to relevant experts, </w:t>
      </w:r>
      <w:r w:rsidR="002C1AE9">
        <w:rPr>
          <w:rFonts w:eastAsia="Times New Roman" w:cs="Verdana"/>
          <w:lang w:val="en-GB" w:eastAsia="de-DE"/>
        </w:rPr>
        <w:t>e-</w:t>
      </w:r>
      <w:r w:rsidRPr="001E218F">
        <w:rPr>
          <w:rFonts w:eastAsia="Times New Roman" w:cs="Verdana"/>
          <w:lang w:val="en-GB" w:eastAsia="de-DE"/>
        </w:rPr>
        <w:t>mails to 'info</w:t>
      </w:r>
      <w:r w:rsidR="002C1AE9">
        <w:rPr>
          <w:rFonts w:eastAsia="Times New Roman" w:cs="Verdana"/>
          <w:lang w:val="en-GB" w:eastAsia="de-DE"/>
        </w:rPr>
        <w:t>@</w:t>
      </w:r>
      <w:r w:rsidRPr="001E218F">
        <w:rPr>
          <w:rFonts w:eastAsia="Times New Roman" w:cs="Verdana"/>
          <w:lang w:val="en-GB" w:eastAsia="de-DE"/>
        </w:rPr>
        <w:t>eiopa</w:t>
      </w:r>
      <w:r w:rsidR="00424427">
        <w:rPr>
          <w:rFonts w:eastAsia="Times New Roman" w:cs="Verdana"/>
          <w:lang w:val="en-GB" w:eastAsia="de-DE"/>
        </w:rPr>
        <w:t>.europa.eu</w:t>
      </w:r>
      <w:r w:rsidRPr="001E218F">
        <w:rPr>
          <w:rFonts w:eastAsia="Times New Roman" w:cs="Verdana"/>
          <w:lang w:val="en-GB" w:eastAsia="de-DE"/>
        </w:rPr>
        <w:t xml:space="preserve">', </w:t>
      </w:r>
      <w:r w:rsidR="002C1AE9">
        <w:rPr>
          <w:rFonts w:eastAsia="Times New Roman" w:cs="Verdana"/>
          <w:lang w:val="en-GB" w:eastAsia="de-DE"/>
        </w:rPr>
        <w:t>e-</w:t>
      </w:r>
      <w:r w:rsidRPr="001E218F">
        <w:rPr>
          <w:rFonts w:eastAsia="Times New Roman" w:cs="Verdana"/>
          <w:lang w:val="en-GB" w:eastAsia="de-DE"/>
        </w:rPr>
        <w:t xml:space="preserve">mails to </w:t>
      </w:r>
      <w:r w:rsidR="002C1AE9">
        <w:rPr>
          <w:rFonts w:eastAsia="Times New Roman" w:cs="Verdana"/>
          <w:lang w:val="en-GB" w:eastAsia="de-DE"/>
        </w:rPr>
        <w:t>the</w:t>
      </w:r>
      <w:r w:rsidRPr="001E218F">
        <w:rPr>
          <w:rFonts w:eastAsia="Times New Roman" w:cs="Verdana"/>
          <w:lang w:val="en-GB" w:eastAsia="de-DE"/>
        </w:rPr>
        <w:t xml:space="preserve"> 'xbrl' </w:t>
      </w:r>
      <w:r w:rsidR="002C1AE9">
        <w:rPr>
          <w:rFonts w:eastAsia="Times New Roman" w:cs="Verdana"/>
          <w:lang w:val="en-GB" w:eastAsia="de-DE"/>
        </w:rPr>
        <w:t xml:space="preserve">dedicated </w:t>
      </w:r>
      <w:r w:rsidRPr="001E218F">
        <w:rPr>
          <w:rFonts w:eastAsia="Times New Roman" w:cs="Verdana"/>
          <w:lang w:val="en-GB" w:eastAsia="de-DE"/>
        </w:rPr>
        <w:t>mailbox</w:t>
      </w:r>
      <w:r w:rsidR="002C1AE9">
        <w:rPr>
          <w:rFonts w:eastAsia="Times New Roman" w:cs="Verdana"/>
          <w:lang w:val="en-GB" w:eastAsia="de-DE"/>
        </w:rPr>
        <w:t xml:space="preserve"> and others.</w:t>
      </w:r>
    </w:p>
    <w:p w14:paraId="6B222E8C" w14:textId="455D4E5C" w:rsidR="001E218F" w:rsidRPr="001E218F" w:rsidRDefault="001E218F" w:rsidP="00E01A3B">
      <w:pPr>
        <w:numPr>
          <w:ilvl w:val="1"/>
          <w:numId w:val="10"/>
        </w:numPr>
        <w:autoSpaceDE w:val="0"/>
        <w:autoSpaceDN w:val="0"/>
        <w:adjustRightInd w:val="0"/>
        <w:spacing w:line="276" w:lineRule="auto"/>
        <w:jc w:val="both"/>
        <w:rPr>
          <w:rFonts w:eastAsia="Times New Roman" w:cs="Verdana"/>
          <w:lang w:val="en-GB" w:eastAsia="de-DE"/>
        </w:rPr>
      </w:pPr>
      <w:r w:rsidRPr="001E218F">
        <w:rPr>
          <w:rFonts w:eastAsia="Times New Roman" w:cs="Verdana"/>
          <w:lang w:val="en-GB" w:eastAsia="de-DE"/>
        </w:rPr>
        <w:t xml:space="preserve">When it comes to Reporting </w:t>
      </w:r>
      <w:r w:rsidR="00082AEC">
        <w:rPr>
          <w:rFonts w:eastAsia="Times New Roman" w:cs="Verdana"/>
          <w:lang w:val="en-GB" w:eastAsia="de-DE"/>
        </w:rPr>
        <w:t xml:space="preserve">and Disclosure </w:t>
      </w:r>
      <w:r w:rsidRPr="001E218F">
        <w:rPr>
          <w:rFonts w:eastAsia="Times New Roman" w:cs="Verdana"/>
          <w:lang w:val="en-GB" w:eastAsia="de-DE"/>
        </w:rPr>
        <w:t xml:space="preserve">the transparency, awareness and swift amendments of the mistakes is very important as </w:t>
      </w:r>
      <w:r w:rsidR="00082AEC">
        <w:rPr>
          <w:rFonts w:eastAsia="Times New Roman" w:cs="Verdana"/>
          <w:lang w:val="en-GB" w:eastAsia="de-DE"/>
        </w:rPr>
        <w:t xml:space="preserve">any </w:t>
      </w:r>
      <w:r w:rsidR="007A53D0">
        <w:rPr>
          <w:rFonts w:eastAsia="Times New Roman" w:cs="Verdana"/>
          <w:lang w:val="en-GB" w:eastAsia="de-DE"/>
        </w:rPr>
        <w:t>mistake</w:t>
      </w:r>
      <w:r w:rsidR="00470D13">
        <w:rPr>
          <w:rFonts w:eastAsia="Times New Roman" w:cs="Verdana"/>
          <w:lang w:val="en-GB" w:eastAsia="de-DE"/>
        </w:rPr>
        <w:t>,</w:t>
      </w:r>
      <w:r w:rsidR="007A53D0">
        <w:rPr>
          <w:rFonts w:eastAsia="Times New Roman" w:cs="Verdana"/>
          <w:lang w:val="en-GB" w:eastAsia="de-DE"/>
        </w:rPr>
        <w:t xml:space="preserve"> </w:t>
      </w:r>
      <w:r w:rsidR="00082AEC">
        <w:rPr>
          <w:rFonts w:eastAsia="Times New Roman" w:cs="Verdana"/>
          <w:lang w:val="en-GB" w:eastAsia="de-DE"/>
        </w:rPr>
        <w:t>even if minor</w:t>
      </w:r>
      <w:r w:rsidR="00470D13">
        <w:rPr>
          <w:rFonts w:eastAsia="Times New Roman" w:cs="Verdana"/>
          <w:lang w:val="en-GB" w:eastAsia="de-DE"/>
        </w:rPr>
        <w:t>,</w:t>
      </w:r>
      <w:r w:rsidR="00082AEC">
        <w:rPr>
          <w:rFonts w:eastAsia="Times New Roman" w:cs="Verdana"/>
          <w:lang w:val="en-GB" w:eastAsia="de-DE"/>
        </w:rPr>
        <w:t xml:space="preserve"> affects </w:t>
      </w:r>
      <w:r w:rsidRPr="001E218F">
        <w:rPr>
          <w:rFonts w:eastAsia="Times New Roman" w:cs="Verdana"/>
          <w:lang w:val="en-GB" w:eastAsia="de-DE"/>
        </w:rPr>
        <w:t xml:space="preserve">implementation. </w:t>
      </w:r>
    </w:p>
    <w:p w14:paraId="6547ABE2" w14:textId="7524361C" w:rsidR="007A53D0" w:rsidRDefault="001E218F" w:rsidP="00E01A3B">
      <w:pPr>
        <w:numPr>
          <w:ilvl w:val="1"/>
          <w:numId w:val="10"/>
        </w:numPr>
        <w:autoSpaceDE w:val="0"/>
        <w:autoSpaceDN w:val="0"/>
        <w:adjustRightInd w:val="0"/>
        <w:spacing w:line="276" w:lineRule="auto"/>
        <w:jc w:val="both"/>
        <w:rPr>
          <w:rFonts w:eastAsia="Times New Roman" w:cs="Verdana"/>
          <w:lang w:val="en-GB" w:eastAsia="de-DE"/>
        </w:rPr>
      </w:pPr>
      <w:r w:rsidRPr="001E218F">
        <w:rPr>
          <w:rFonts w:eastAsia="Times New Roman" w:cs="Verdana"/>
          <w:lang w:val="en-GB" w:eastAsia="de-DE"/>
        </w:rPr>
        <w:t>From a legal perspective</w:t>
      </w:r>
      <w:r w:rsidR="002C1AE9">
        <w:rPr>
          <w:rFonts w:eastAsia="Times New Roman" w:cs="Verdana"/>
          <w:lang w:val="en-GB" w:eastAsia="de-DE"/>
        </w:rPr>
        <w:t>,</w:t>
      </w:r>
      <w:r w:rsidRPr="001E218F">
        <w:rPr>
          <w:rFonts w:eastAsia="Times New Roman" w:cs="Verdana"/>
          <w:lang w:val="en-GB" w:eastAsia="de-DE"/>
        </w:rPr>
        <w:t xml:space="preserve"> the Q&amp;A tool is a proper tool to be used during an interim period when the mistakes have not yet been amended, however the </w:t>
      </w:r>
      <w:r w:rsidR="002C1AE9">
        <w:rPr>
          <w:rFonts w:eastAsia="Times New Roman" w:cs="Verdana"/>
          <w:lang w:val="en-GB" w:eastAsia="de-DE"/>
        </w:rPr>
        <w:t>l</w:t>
      </w:r>
      <w:r w:rsidRPr="001E218F">
        <w:rPr>
          <w:rFonts w:eastAsia="Times New Roman" w:cs="Verdana"/>
          <w:lang w:val="en-GB" w:eastAsia="de-DE"/>
        </w:rPr>
        <w:t xml:space="preserve">egal text (in this case the </w:t>
      </w:r>
      <w:proofErr w:type="gramStart"/>
      <w:r w:rsidRPr="001E218F">
        <w:rPr>
          <w:rFonts w:eastAsia="Times New Roman" w:cs="Verdana"/>
          <w:lang w:val="en-GB" w:eastAsia="de-DE"/>
        </w:rPr>
        <w:t>ITS</w:t>
      </w:r>
      <w:proofErr w:type="gramEnd"/>
      <w:r w:rsidRPr="001E218F">
        <w:rPr>
          <w:rFonts w:eastAsia="Times New Roman" w:cs="Verdana"/>
          <w:lang w:val="en-GB" w:eastAsia="de-DE"/>
        </w:rPr>
        <w:t>) is binding and prevails over other non-binging type of texts.</w:t>
      </w:r>
    </w:p>
    <w:p w14:paraId="56243C1F" w14:textId="441954A1" w:rsidR="007A53D0" w:rsidRDefault="007A53D0" w:rsidP="00E01A3B">
      <w:pPr>
        <w:numPr>
          <w:ilvl w:val="1"/>
          <w:numId w:val="10"/>
        </w:numPr>
        <w:autoSpaceDE w:val="0"/>
        <w:autoSpaceDN w:val="0"/>
        <w:adjustRightInd w:val="0"/>
        <w:spacing w:line="276" w:lineRule="auto"/>
        <w:jc w:val="both"/>
        <w:rPr>
          <w:rFonts w:eastAsia="Times New Roman" w:cs="Verdana"/>
          <w:lang w:val="en-GB" w:eastAsia="de-DE"/>
        </w:rPr>
      </w:pPr>
      <w:r w:rsidRPr="007A53D0">
        <w:rPr>
          <w:rFonts w:eastAsia="Times New Roman" w:cs="Verdana"/>
          <w:lang w:val="en-GB" w:eastAsia="de-DE"/>
        </w:rPr>
        <w:t>In the area of reporting legal certainty and correctness are crucial</w:t>
      </w:r>
      <w:r w:rsidR="001E1B01">
        <w:rPr>
          <w:rFonts w:eastAsia="Times New Roman" w:cs="Verdana"/>
          <w:lang w:val="en-GB" w:eastAsia="de-DE"/>
        </w:rPr>
        <w:t xml:space="preserve">. Reflecting </w:t>
      </w:r>
      <w:r w:rsidR="00561C9A">
        <w:rPr>
          <w:rFonts w:eastAsia="Times New Roman" w:cs="Verdana"/>
          <w:lang w:val="en-GB" w:eastAsia="de-DE"/>
        </w:rPr>
        <w:t xml:space="preserve">the corrections </w:t>
      </w:r>
      <w:r w:rsidRPr="007A53D0">
        <w:rPr>
          <w:rFonts w:eastAsia="Times New Roman" w:cs="Verdana"/>
          <w:lang w:val="en-GB" w:eastAsia="de-DE"/>
        </w:rPr>
        <w:t xml:space="preserve">in the </w:t>
      </w:r>
      <w:r w:rsidR="002C1AE9">
        <w:rPr>
          <w:rFonts w:eastAsia="Times New Roman" w:cs="Verdana"/>
          <w:lang w:val="en-GB" w:eastAsia="de-DE"/>
        </w:rPr>
        <w:t>l</w:t>
      </w:r>
      <w:r w:rsidRPr="007A53D0">
        <w:rPr>
          <w:rFonts w:eastAsia="Times New Roman" w:cs="Verdana"/>
          <w:lang w:val="en-GB" w:eastAsia="de-DE"/>
        </w:rPr>
        <w:t xml:space="preserve">egal text will facilitate the </w:t>
      </w:r>
      <w:proofErr w:type="gramStart"/>
      <w:r w:rsidRPr="007A53D0">
        <w:rPr>
          <w:rFonts w:eastAsia="Times New Roman" w:cs="Verdana"/>
          <w:lang w:val="en-GB" w:eastAsia="de-DE"/>
        </w:rPr>
        <w:t>reporting</w:t>
      </w:r>
      <w:r w:rsidR="00470D13">
        <w:rPr>
          <w:rFonts w:eastAsia="Times New Roman" w:cs="Verdana"/>
          <w:lang w:val="en-GB" w:eastAsia="de-DE"/>
        </w:rPr>
        <w:t>,</w:t>
      </w:r>
      <w:proofErr w:type="gramEnd"/>
      <w:r w:rsidR="00470D13">
        <w:rPr>
          <w:rFonts w:eastAsia="Times New Roman" w:cs="Verdana"/>
          <w:lang w:val="en-GB" w:eastAsia="de-DE"/>
        </w:rPr>
        <w:t xml:space="preserve"> </w:t>
      </w:r>
      <w:r w:rsidR="00A1232D" w:rsidRPr="00365078">
        <w:rPr>
          <w:rFonts w:eastAsia="Times New Roman" w:cs="Verdana"/>
          <w:lang w:val="en-GB" w:eastAsia="de-DE"/>
        </w:rPr>
        <w:t xml:space="preserve">strengthen the role of </w:t>
      </w:r>
      <w:r w:rsidR="001E1B01">
        <w:rPr>
          <w:rFonts w:eastAsia="Times New Roman" w:cs="Verdana"/>
          <w:lang w:val="en-GB" w:eastAsia="de-DE"/>
        </w:rPr>
        <w:t xml:space="preserve">the </w:t>
      </w:r>
      <w:r w:rsidR="00A1232D" w:rsidRPr="00365078">
        <w:rPr>
          <w:rFonts w:eastAsia="Times New Roman" w:cs="Verdana"/>
          <w:lang w:val="en-GB" w:eastAsia="de-DE"/>
        </w:rPr>
        <w:t xml:space="preserve">Q&amp;A </w:t>
      </w:r>
      <w:r w:rsidR="001E1B01">
        <w:rPr>
          <w:rFonts w:eastAsia="Times New Roman" w:cs="Verdana"/>
          <w:lang w:val="en-GB" w:eastAsia="de-DE"/>
        </w:rPr>
        <w:t>tool</w:t>
      </w:r>
      <w:r w:rsidRPr="007A53D0">
        <w:rPr>
          <w:rFonts w:eastAsia="Times New Roman" w:cs="Verdana"/>
          <w:lang w:val="en-GB" w:eastAsia="de-DE"/>
        </w:rPr>
        <w:t xml:space="preserve"> while increas</w:t>
      </w:r>
      <w:r w:rsidR="001E1B01">
        <w:rPr>
          <w:rFonts w:eastAsia="Times New Roman" w:cs="Verdana"/>
          <w:lang w:val="en-GB" w:eastAsia="de-DE"/>
        </w:rPr>
        <w:t>ing</w:t>
      </w:r>
      <w:r w:rsidRPr="007A53D0">
        <w:rPr>
          <w:rFonts w:eastAsia="Times New Roman" w:cs="Verdana"/>
          <w:lang w:val="en-GB" w:eastAsia="de-DE"/>
        </w:rPr>
        <w:t xml:space="preserve"> the quality of the reporting. It is also important to note that mistakes identified have to </w:t>
      </w:r>
      <w:proofErr w:type="gramStart"/>
      <w:r w:rsidRPr="007A53D0">
        <w:rPr>
          <w:rFonts w:eastAsia="Times New Roman" w:cs="Verdana"/>
          <w:lang w:val="en-GB" w:eastAsia="de-DE"/>
        </w:rPr>
        <w:t>be addressed</w:t>
      </w:r>
      <w:proofErr w:type="gramEnd"/>
      <w:r w:rsidRPr="007A53D0">
        <w:rPr>
          <w:rFonts w:eastAsia="Times New Roman" w:cs="Verdana"/>
          <w:lang w:val="en-GB" w:eastAsia="de-DE"/>
        </w:rPr>
        <w:t xml:space="preserve"> by undertakings, sometimes </w:t>
      </w:r>
      <w:r w:rsidR="00814941">
        <w:rPr>
          <w:rFonts w:eastAsia="Times New Roman" w:cs="Verdana"/>
          <w:lang w:val="en-GB" w:eastAsia="de-DE"/>
        </w:rPr>
        <w:t xml:space="preserve">with </w:t>
      </w:r>
      <w:r w:rsidR="00561C9A">
        <w:rPr>
          <w:rFonts w:eastAsia="Times New Roman" w:cs="Verdana"/>
          <w:lang w:val="en-GB" w:eastAsia="de-DE"/>
        </w:rPr>
        <w:t xml:space="preserve">provisional </w:t>
      </w:r>
      <w:r w:rsidR="00814941">
        <w:rPr>
          <w:rFonts w:eastAsia="Times New Roman" w:cs="Verdana"/>
          <w:lang w:val="en-GB" w:eastAsia="de-DE"/>
        </w:rPr>
        <w:t xml:space="preserve">updates of the </w:t>
      </w:r>
      <w:r w:rsidR="00814941" w:rsidRPr="007A53D0">
        <w:rPr>
          <w:rFonts w:eastAsia="Times New Roman" w:cs="Verdana"/>
          <w:lang w:val="en-GB" w:eastAsia="de-DE"/>
        </w:rPr>
        <w:t xml:space="preserve">IT </w:t>
      </w:r>
      <w:r w:rsidR="00814941">
        <w:rPr>
          <w:rFonts w:eastAsia="Times New Roman" w:cs="Verdana"/>
          <w:lang w:val="en-GB" w:eastAsia="de-DE"/>
        </w:rPr>
        <w:t xml:space="preserve">solutions </w:t>
      </w:r>
      <w:r w:rsidRPr="007A53D0">
        <w:rPr>
          <w:rFonts w:eastAsia="Times New Roman" w:cs="Verdana"/>
          <w:lang w:val="en-GB" w:eastAsia="de-DE"/>
        </w:rPr>
        <w:t>but frequently to overcome them by manual processes for every report, which implies costs to undertakings.</w:t>
      </w:r>
    </w:p>
    <w:p w14:paraId="679BDE26" w14:textId="6B45823C" w:rsidR="00A85D4A" w:rsidRDefault="00082AEC" w:rsidP="00814941">
      <w:pPr>
        <w:numPr>
          <w:ilvl w:val="1"/>
          <w:numId w:val="10"/>
        </w:numPr>
        <w:autoSpaceDE w:val="0"/>
        <w:autoSpaceDN w:val="0"/>
        <w:adjustRightInd w:val="0"/>
        <w:spacing w:line="276" w:lineRule="auto"/>
        <w:jc w:val="both"/>
        <w:rPr>
          <w:rFonts w:eastAsia="Times New Roman" w:cs="Verdana"/>
          <w:lang w:val="en-GB" w:eastAsia="de-DE"/>
        </w:rPr>
      </w:pPr>
      <w:r w:rsidRPr="00814941">
        <w:rPr>
          <w:rFonts w:eastAsia="Times New Roman" w:cs="Verdana"/>
          <w:lang w:val="en-GB" w:eastAsia="de-DE"/>
        </w:rPr>
        <w:t xml:space="preserve">Considering </w:t>
      </w:r>
      <w:proofErr w:type="gramStart"/>
      <w:r w:rsidRPr="00814941">
        <w:rPr>
          <w:rFonts w:eastAsia="Times New Roman" w:cs="Verdana"/>
          <w:lang w:val="en-GB" w:eastAsia="de-DE"/>
        </w:rPr>
        <w:t>that</w:t>
      </w:r>
      <w:proofErr w:type="gramEnd"/>
      <w:r w:rsidRPr="00814941">
        <w:rPr>
          <w:rFonts w:eastAsia="Times New Roman" w:cs="Verdana"/>
          <w:lang w:val="en-GB" w:eastAsia="de-DE"/>
        </w:rPr>
        <w:t xml:space="preserve"> </w:t>
      </w:r>
      <w:r w:rsidR="00470D13">
        <w:rPr>
          <w:rFonts w:eastAsia="Times New Roman" w:cs="Verdana"/>
          <w:lang w:val="en-GB" w:eastAsia="de-DE"/>
        </w:rPr>
        <w:t xml:space="preserve">some </w:t>
      </w:r>
      <w:r w:rsidR="001E1B01">
        <w:rPr>
          <w:rFonts w:eastAsia="Times New Roman" w:cs="Verdana"/>
          <w:lang w:val="en-GB" w:eastAsia="de-DE"/>
        </w:rPr>
        <w:t>corrections</w:t>
      </w:r>
      <w:r w:rsidRPr="00814941">
        <w:rPr>
          <w:rFonts w:eastAsia="Times New Roman" w:cs="Verdana"/>
          <w:lang w:val="en-GB" w:eastAsia="de-DE"/>
        </w:rPr>
        <w:t xml:space="preserve"> identified impact </w:t>
      </w:r>
      <w:r w:rsidR="00814941">
        <w:rPr>
          <w:rFonts w:eastAsia="Times New Roman" w:cs="Verdana"/>
          <w:lang w:val="en-GB" w:eastAsia="de-DE"/>
        </w:rPr>
        <w:t xml:space="preserve">the XBRL </w:t>
      </w:r>
      <w:r w:rsidRPr="00814941">
        <w:rPr>
          <w:rFonts w:eastAsia="Times New Roman" w:cs="Verdana"/>
          <w:lang w:val="en-GB" w:eastAsia="de-DE"/>
        </w:rPr>
        <w:t>taxonomy</w:t>
      </w:r>
      <w:r w:rsidR="005A26B8">
        <w:rPr>
          <w:rFonts w:eastAsia="Times New Roman" w:cs="Verdana"/>
          <w:lang w:val="en-GB" w:eastAsia="de-DE"/>
        </w:rPr>
        <w:t xml:space="preserve">, </w:t>
      </w:r>
      <w:r w:rsidRPr="00814941">
        <w:rPr>
          <w:rFonts w:eastAsia="Times New Roman" w:cs="Verdana"/>
          <w:lang w:val="en-GB" w:eastAsia="de-DE"/>
        </w:rPr>
        <w:t>the Governance of Taxonomy Releases</w:t>
      </w:r>
      <w:r w:rsidR="002768BA">
        <w:rPr>
          <w:rStyle w:val="FootnoteReference"/>
          <w:rFonts w:eastAsia="Times New Roman"/>
          <w:lang w:val="en-GB" w:eastAsia="de-DE"/>
        </w:rPr>
        <w:footnoteReference w:id="2"/>
      </w:r>
      <w:r w:rsidRPr="00814941">
        <w:rPr>
          <w:rFonts w:eastAsia="Times New Roman" w:cs="Verdana"/>
          <w:lang w:val="en-GB" w:eastAsia="de-DE"/>
        </w:rPr>
        <w:t xml:space="preserve"> should be taken into </w:t>
      </w:r>
      <w:r w:rsidR="005A26B8">
        <w:rPr>
          <w:rFonts w:eastAsia="Times New Roman" w:cs="Verdana"/>
          <w:lang w:val="en-GB" w:eastAsia="de-DE"/>
        </w:rPr>
        <w:t>account</w:t>
      </w:r>
      <w:r w:rsidRPr="00814941">
        <w:rPr>
          <w:rFonts w:eastAsia="Times New Roman" w:cs="Verdana"/>
          <w:lang w:val="en-GB" w:eastAsia="de-DE"/>
        </w:rPr>
        <w:t>.</w:t>
      </w:r>
      <w:r w:rsidR="00561C9A">
        <w:rPr>
          <w:rFonts w:eastAsia="Times New Roman" w:cs="Verdana"/>
          <w:lang w:val="en-GB" w:eastAsia="de-DE"/>
        </w:rPr>
        <w:t xml:space="preserve"> The Governance of Taxonomy </w:t>
      </w:r>
      <w:r w:rsidR="001335FF">
        <w:rPr>
          <w:rFonts w:eastAsia="Times New Roman" w:cs="Verdana"/>
          <w:lang w:val="en-GB" w:eastAsia="de-DE"/>
        </w:rPr>
        <w:t xml:space="preserve">aims to provide to undertakings </w:t>
      </w:r>
      <w:r w:rsidR="00CD438B">
        <w:rPr>
          <w:rFonts w:eastAsia="Times New Roman" w:cs="Verdana"/>
          <w:lang w:val="en-GB" w:eastAsia="de-DE"/>
        </w:rPr>
        <w:t xml:space="preserve">and other stakeholders </w:t>
      </w:r>
      <w:r w:rsidR="001335FF">
        <w:rPr>
          <w:rFonts w:eastAsia="Times New Roman" w:cs="Verdana"/>
          <w:lang w:val="en-GB" w:eastAsia="de-DE"/>
        </w:rPr>
        <w:t xml:space="preserve">certainty about the process and schedule of the XBRL taxonomy updates in order that can </w:t>
      </w:r>
      <w:r w:rsidR="00CD438B">
        <w:rPr>
          <w:rFonts w:eastAsia="Times New Roman" w:cs="Verdana"/>
          <w:lang w:val="en-GB" w:eastAsia="de-DE"/>
        </w:rPr>
        <w:t xml:space="preserve">be </w:t>
      </w:r>
      <w:r w:rsidR="001335FF">
        <w:rPr>
          <w:rFonts w:eastAsia="Times New Roman" w:cs="Verdana"/>
          <w:lang w:val="en-GB" w:eastAsia="de-DE"/>
        </w:rPr>
        <w:t>foresee</w:t>
      </w:r>
      <w:r w:rsidR="00CD438B">
        <w:rPr>
          <w:rFonts w:eastAsia="Times New Roman" w:cs="Verdana"/>
          <w:lang w:val="en-GB" w:eastAsia="de-DE"/>
        </w:rPr>
        <w:t>n</w:t>
      </w:r>
      <w:r w:rsidR="001335FF">
        <w:rPr>
          <w:rFonts w:eastAsia="Times New Roman" w:cs="Verdana"/>
          <w:lang w:val="en-GB" w:eastAsia="de-DE"/>
        </w:rPr>
        <w:t xml:space="preserve"> and </w:t>
      </w:r>
      <w:r w:rsidR="00A85D4A">
        <w:rPr>
          <w:rFonts w:eastAsia="Times New Roman" w:cs="Verdana"/>
          <w:lang w:val="en-GB" w:eastAsia="de-DE"/>
        </w:rPr>
        <w:t>plan</w:t>
      </w:r>
      <w:r w:rsidR="001335FF">
        <w:rPr>
          <w:rFonts w:eastAsia="Times New Roman" w:cs="Verdana"/>
          <w:lang w:val="en-GB" w:eastAsia="de-DE"/>
        </w:rPr>
        <w:t xml:space="preserve"> </w:t>
      </w:r>
      <w:r w:rsidR="00CD438B">
        <w:rPr>
          <w:rFonts w:eastAsia="Times New Roman" w:cs="Verdana"/>
          <w:lang w:val="en-GB" w:eastAsia="de-DE"/>
        </w:rPr>
        <w:t xml:space="preserve">in advance </w:t>
      </w:r>
      <w:r w:rsidR="001335FF">
        <w:rPr>
          <w:rFonts w:eastAsia="Times New Roman" w:cs="Verdana"/>
          <w:lang w:val="en-GB" w:eastAsia="de-DE"/>
        </w:rPr>
        <w:t xml:space="preserve">when </w:t>
      </w:r>
      <w:r w:rsidR="00A85D4A">
        <w:rPr>
          <w:rFonts w:eastAsia="Times New Roman" w:cs="Verdana"/>
          <w:lang w:val="en-GB" w:eastAsia="de-DE"/>
        </w:rPr>
        <w:t xml:space="preserve">the IT reporting </w:t>
      </w:r>
      <w:r w:rsidR="001335FF">
        <w:rPr>
          <w:rFonts w:eastAsia="Times New Roman" w:cs="Verdana"/>
          <w:lang w:val="en-GB" w:eastAsia="de-DE"/>
        </w:rPr>
        <w:t>systems need to be updated.</w:t>
      </w:r>
      <w:r w:rsidR="005A26B8">
        <w:rPr>
          <w:rFonts w:eastAsia="Times New Roman" w:cs="Verdana"/>
          <w:lang w:val="en-GB" w:eastAsia="de-DE"/>
        </w:rPr>
        <w:t xml:space="preserve"> </w:t>
      </w:r>
      <w:proofErr w:type="gramStart"/>
      <w:r w:rsidR="005A26B8">
        <w:rPr>
          <w:rFonts w:eastAsia="Times New Roman" w:cs="Verdana"/>
          <w:lang w:val="en-GB" w:eastAsia="de-DE"/>
        </w:rPr>
        <w:t xml:space="preserve">As a </w:t>
      </w:r>
      <w:r w:rsidR="00CD438B">
        <w:rPr>
          <w:rFonts w:eastAsia="Times New Roman" w:cs="Verdana"/>
          <w:lang w:val="en-GB" w:eastAsia="de-DE"/>
        </w:rPr>
        <w:t xml:space="preserve">general </w:t>
      </w:r>
      <w:r w:rsidR="005A26B8">
        <w:rPr>
          <w:rFonts w:eastAsia="Times New Roman" w:cs="Verdana"/>
          <w:lang w:val="en-GB" w:eastAsia="de-DE"/>
        </w:rPr>
        <w:t>rule</w:t>
      </w:r>
      <w:proofErr w:type="gramEnd"/>
      <w:r w:rsidR="00F70ECD">
        <w:rPr>
          <w:rFonts w:eastAsia="Times New Roman" w:cs="Verdana"/>
          <w:lang w:val="en-GB" w:eastAsia="de-DE"/>
        </w:rPr>
        <w:t>,</w:t>
      </w:r>
      <w:r w:rsidR="005A26B8">
        <w:rPr>
          <w:rFonts w:eastAsia="Times New Roman" w:cs="Verdana"/>
          <w:lang w:val="en-GB" w:eastAsia="de-DE"/>
        </w:rPr>
        <w:t xml:space="preserve"> in case of business changes, the taxonomy is updated only once a year and in July.</w:t>
      </w:r>
    </w:p>
    <w:p w14:paraId="609DD6CD" w14:textId="5E38E18A" w:rsidR="001E1B01" w:rsidRDefault="001E1B01" w:rsidP="00CD438B">
      <w:pPr>
        <w:numPr>
          <w:ilvl w:val="1"/>
          <w:numId w:val="10"/>
        </w:numPr>
        <w:autoSpaceDE w:val="0"/>
        <w:autoSpaceDN w:val="0"/>
        <w:adjustRightInd w:val="0"/>
        <w:spacing w:line="276" w:lineRule="auto"/>
        <w:jc w:val="both"/>
        <w:rPr>
          <w:rFonts w:eastAsia="Times New Roman" w:cs="Verdana"/>
          <w:lang w:val="en-GB" w:eastAsia="de-DE"/>
        </w:rPr>
      </w:pPr>
      <w:r>
        <w:rPr>
          <w:rFonts w:eastAsia="Times New Roman" w:cs="Verdana"/>
          <w:lang w:val="en-GB" w:eastAsia="de-DE"/>
        </w:rPr>
        <w:t xml:space="preserve">This impact assessment needs to be read </w:t>
      </w:r>
      <w:r w:rsidR="006318B6">
        <w:rPr>
          <w:rFonts w:eastAsia="Times New Roman" w:cs="Verdana"/>
          <w:lang w:val="en-GB" w:eastAsia="de-DE"/>
        </w:rPr>
        <w:t xml:space="preserve">considering the fact </w:t>
      </w:r>
      <w:r>
        <w:rPr>
          <w:rFonts w:eastAsia="Times New Roman" w:cs="Verdana"/>
          <w:lang w:val="en-GB" w:eastAsia="de-DE"/>
        </w:rPr>
        <w:t>that ver</w:t>
      </w:r>
      <w:r w:rsidR="006318B6">
        <w:rPr>
          <w:rFonts w:eastAsia="Times New Roman" w:cs="Verdana"/>
          <w:lang w:val="en-GB" w:eastAsia="de-DE"/>
        </w:rPr>
        <w:t>s</w:t>
      </w:r>
      <w:r>
        <w:rPr>
          <w:rFonts w:eastAsia="Times New Roman" w:cs="Verdana"/>
          <w:lang w:val="en-GB" w:eastAsia="de-DE"/>
        </w:rPr>
        <w:t>io</w:t>
      </w:r>
      <w:r w:rsidR="006318B6">
        <w:rPr>
          <w:rFonts w:eastAsia="Times New Roman" w:cs="Verdana"/>
          <w:lang w:val="en-GB" w:eastAsia="de-DE"/>
        </w:rPr>
        <w:t>n</w:t>
      </w:r>
      <w:r>
        <w:rPr>
          <w:rFonts w:eastAsia="Times New Roman" w:cs="Verdana"/>
          <w:lang w:val="en-GB" w:eastAsia="de-DE"/>
        </w:rPr>
        <w:t xml:space="preserve"> 2.2.0 of the Taxonomy will be released in July 2017 as announced by EIOPA at the end of 2016.</w:t>
      </w:r>
      <w:r w:rsidR="006318B6">
        <w:rPr>
          <w:rFonts w:eastAsia="Times New Roman" w:cs="Verdana"/>
          <w:lang w:val="en-GB" w:eastAsia="de-DE"/>
        </w:rPr>
        <w:t xml:space="preserve"> The decision of this release is not affected by the </w:t>
      </w:r>
      <w:r w:rsidR="00365078">
        <w:rPr>
          <w:rFonts w:eastAsia="Times New Roman" w:cs="Verdana"/>
          <w:lang w:val="en-GB" w:eastAsia="de-DE"/>
        </w:rPr>
        <w:t>decision to include i</w:t>
      </w:r>
      <w:r w:rsidR="006318B6">
        <w:rPr>
          <w:rFonts w:eastAsia="Times New Roman" w:cs="Verdana"/>
          <w:lang w:val="en-GB" w:eastAsia="de-DE"/>
        </w:rPr>
        <w:t xml:space="preserve">n the </w:t>
      </w:r>
      <w:proofErr w:type="gramStart"/>
      <w:r w:rsidR="006318B6">
        <w:rPr>
          <w:rFonts w:eastAsia="Times New Roman" w:cs="Verdana"/>
          <w:lang w:val="en-GB" w:eastAsia="de-DE"/>
        </w:rPr>
        <w:t>ITS</w:t>
      </w:r>
      <w:proofErr w:type="gramEnd"/>
      <w:r w:rsidR="006318B6">
        <w:rPr>
          <w:rFonts w:eastAsia="Times New Roman" w:cs="Verdana"/>
          <w:lang w:val="en-GB" w:eastAsia="de-DE"/>
        </w:rPr>
        <w:t xml:space="preserve"> the corrections subject to this Impact Assessment.</w:t>
      </w:r>
    </w:p>
    <w:p w14:paraId="2560249A" w14:textId="524317BC" w:rsidR="001E218F" w:rsidRPr="00A85D4A" w:rsidRDefault="005A26B8" w:rsidP="00CD438B">
      <w:pPr>
        <w:numPr>
          <w:ilvl w:val="1"/>
          <w:numId w:val="10"/>
        </w:numPr>
        <w:autoSpaceDE w:val="0"/>
        <w:autoSpaceDN w:val="0"/>
        <w:adjustRightInd w:val="0"/>
        <w:spacing w:line="276" w:lineRule="auto"/>
        <w:jc w:val="both"/>
        <w:rPr>
          <w:rFonts w:cs="Verdana"/>
          <w:lang w:val="en-GB" w:eastAsia="de-DE"/>
        </w:rPr>
      </w:pPr>
      <w:r w:rsidRPr="00814941">
        <w:rPr>
          <w:rFonts w:eastAsia="Times New Roman" w:cs="Verdana"/>
          <w:lang w:val="en-GB" w:eastAsia="de-DE"/>
        </w:rPr>
        <w:t xml:space="preserve">In fact, </w:t>
      </w:r>
      <w:r w:rsidR="00CD438B">
        <w:rPr>
          <w:rFonts w:eastAsia="Times New Roman" w:cs="Verdana"/>
          <w:lang w:val="en-GB" w:eastAsia="de-DE"/>
        </w:rPr>
        <w:t xml:space="preserve">the </w:t>
      </w:r>
      <w:r w:rsidR="006318B6">
        <w:rPr>
          <w:rFonts w:eastAsia="Times New Roman" w:cs="Verdana"/>
          <w:lang w:val="en-GB" w:eastAsia="de-DE"/>
        </w:rPr>
        <w:t xml:space="preserve">release of the </w:t>
      </w:r>
      <w:r w:rsidR="00CD438B">
        <w:rPr>
          <w:rFonts w:eastAsia="Times New Roman" w:cs="Verdana"/>
          <w:lang w:val="en-GB" w:eastAsia="de-DE"/>
        </w:rPr>
        <w:t>Taxonomy</w:t>
      </w:r>
      <w:r w:rsidR="00470D13">
        <w:rPr>
          <w:rFonts w:eastAsia="Times New Roman" w:cs="Verdana"/>
          <w:lang w:val="en-GB" w:eastAsia="de-DE"/>
        </w:rPr>
        <w:t xml:space="preserve"> </w:t>
      </w:r>
      <w:r w:rsidR="003C588C" w:rsidRPr="00A85D4A">
        <w:rPr>
          <w:rFonts w:eastAsia="Times New Roman" w:cs="Verdana"/>
          <w:lang w:val="en-GB" w:eastAsia="de-DE"/>
        </w:rPr>
        <w:t xml:space="preserve">announced for July 2017 provided a window of opportunity for the </w:t>
      </w:r>
      <w:r w:rsidR="006318B6">
        <w:rPr>
          <w:rFonts w:eastAsia="Times New Roman" w:cs="Verdana"/>
          <w:lang w:val="en-GB" w:eastAsia="de-DE"/>
        </w:rPr>
        <w:t>correction of the</w:t>
      </w:r>
      <w:r w:rsidR="003C588C" w:rsidRPr="00A85D4A">
        <w:rPr>
          <w:rFonts w:eastAsia="Times New Roman" w:cs="Verdana"/>
          <w:lang w:val="en-GB" w:eastAsia="de-DE"/>
        </w:rPr>
        <w:t xml:space="preserve"> legal text. </w:t>
      </w:r>
    </w:p>
    <w:p w14:paraId="25125C25" w14:textId="243AAEDA" w:rsidR="007A75B6" w:rsidRPr="007A75B6" w:rsidRDefault="007A75B6" w:rsidP="001E218F">
      <w:pPr>
        <w:autoSpaceDE w:val="0"/>
        <w:autoSpaceDN w:val="0"/>
        <w:adjustRightInd w:val="0"/>
        <w:spacing w:line="276" w:lineRule="auto"/>
        <w:ind w:left="720"/>
        <w:jc w:val="both"/>
        <w:rPr>
          <w:rFonts w:eastAsia="Times New Roman" w:cs="Verdana"/>
          <w:lang w:val="en-GB" w:eastAsia="de-DE"/>
        </w:rPr>
      </w:pPr>
    </w:p>
    <w:p w14:paraId="25125C26" w14:textId="77777777" w:rsidR="007A75B6" w:rsidRPr="00263F07" w:rsidRDefault="007A75B6" w:rsidP="007A75B6">
      <w:pPr>
        <w:spacing w:before="240" w:after="240"/>
        <w:jc w:val="both"/>
        <w:rPr>
          <w:rFonts w:eastAsia="Times New Roman"/>
          <w:b/>
          <w:lang w:eastAsia="en-GB"/>
        </w:rPr>
      </w:pPr>
      <w:bookmarkStart w:id="4" w:name="_Toc403734689"/>
      <w:bookmarkStart w:id="5" w:name="_Toc403734715"/>
      <w:r w:rsidRPr="00263F07">
        <w:rPr>
          <w:rFonts w:eastAsia="Times New Roman"/>
          <w:b/>
          <w:lang w:eastAsia="en-GB"/>
        </w:rPr>
        <w:t>Baseline</w:t>
      </w:r>
      <w:bookmarkEnd w:id="4"/>
      <w:bookmarkEnd w:id="5"/>
    </w:p>
    <w:p w14:paraId="25125C27" w14:textId="3A5DFD96" w:rsidR="007A75B6" w:rsidRPr="007A75B6" w:rsidRDefault="007A75B6" w:rsidP="00E01A3B">
      <w:pPr>
        <w:numPr>
          <w:ilvl w:val="1"/>
          <w:numId w:val="10"/>
        </w:numPr>
        <w:autoSpaceDE w:val="0"/>
        <w:autoSpaceDN w:val="0"/>
        <w:adjustRightInd w:val="0"/>
        <w:spacing w:line="276" w:lineRule="auto"/>
        <w:jc w:val="both"/>
        <w:rPr>
          <w:rFonts w:eastAsia="Times New Roman" w:cs="Verdana"/>
          <w:lang w:val="en-GB" w:eastAsia="de-DE"/>
        </w:rPr>
      </w:pPr>
      <w:r w:rsidRPr="007A75B6">
        <w:rPr>
          <w:rFonts w:eastAsia="Times New Roman" w:cs="Verdana"/>
          <w:lang w:val="en-GB" w:eastAsia="de-DE"/>
        </w:rPr>
        <w:t>When analysing the impact from proposed policies, the Impact Assessment methodology fores</w:t>
      </w:r>
      <w:r w:rsidR="009B16FC">
        <w:rPr>
          <w:rFonts w:eastAsia="Times New Roman" w:cs="Verdana"/>
          <w:lang w:val="en-GB" w:eastAsia="de-DE"/>
        </w:rPr>
        <w:t xml:space="preserve">ees that a baseline scenario </w:t>
      </w:r>
      <w:proofErr w:type="gramStart"/>
      <w:r w:rsidR="009B16FC">
        <w:rPr>
          <w:rFonts w:eastAsia="Times New Roman" w:cs="Verdana"/>
          <w:lang w:val="en-GB" w:eastAsia="de-DE"/>
        </w:rPr>
        <w:t xml:space="preserve">is </w:t>
      </w:r>
      <w:r w:rsidRPr="007A75B6">
        <w:rPr>
          <w:rFonts w:eastAsia="Times New Roman" w:cs="Verdana"/>
          <w:lang w:val="en-GB" w:eastAsia="de-DE"/>
        </w:rPr>
        <w:t>applied</w:t>
      </w:r>
      <w:proofErr w:type="gramEnd"/>
      <w:r w:rsidRPr="007A75B6">
        <w:rPr>
          <w:rFonts w:eastAsia="Times New Roman" w:cs="Verdana"/>
          <w:lang w:val="en-GB" w:eastAsia="de-DE"/>
        </w:rPr>
        <w:t xml:space="preserve"> as the basis for comparing policy options. This helps to identify the incremental impact of each policy option considered. The aim of the baseline scenario is to explain how the current situation would evolve without additional regulatory intervention.</w:t>
      </w:r>
    </w:p>
    <w:p w14:paraId="25125C28" w14:textId="503BE032" w:rsidR="007A75B6" w:rsidRPr="007A75B6" w:rsidRDefault="007A75B6" w:rsidP="00E01A3B">
      <w:pPr>
        <w:numPr>
          <w:ilvl w:val="1"/>
          <w:numId w:val="10"/>
        </w:numPr>
        <w:autoSpaceDE w:val="0"/>
        <w:autoSpaceDN w:val="0"/>
        <w:adjustRightInd w:val="0"/>
        <w:spacing w:line="276" w:lineRule="auto"/>
        <w:jc w:val="both"/>
        <w:rPr>
          <w:rFonts w:eastAsia="Times New Roman" w:cs="Verdana"/>
          <w:lang w:val="en-GB" w:eastAsia="de-DE"/>
        </w:rPr>
      </w:pPr>
      <w:r w:rsidRPr="007A75B6">
        <w:rPr>
          <w:rFonts w:eastAsia="Times New Roman" w:cs="Verdana"/>
          <w:lang w:val="en-GB" w:eastAsia="de-DE"/>
        </w:rPr>
        <w:t xml:space="preserve">The baseline scenario </w:t>
      </w:r>
      <w:proofErr w:type="gramStart"/>
      <w:r w:rsidRPr="007A75B6">
        <w:rPr>
          <w:rFonts w:eastAsia="Times New Roman" w:cs="Verdana"/>
          <w:lang w:val="en-GB" w:eastAsia="de-DE"/>
        </w:rPr>
        <w:t>is based</w:t>
      </w:r>
      <w:proofErr w:type="gramEnd"/>
      <w:r w:rsidRPr="007A75B6">
        <w:rPr>
          <w:rFonts w:eastAsia="Times New Roman" w:cs="Verdana"/>
          <w:lang w:val="en-GB" w:eastAsia="de-DE"/>
        </w:rPr>
        <w:t xml:space="preserve"> on the Solvency II supervisory reporting as defined in Implementing Technical Standards on the templates for the submission of information to the supervisory authorities</w:t>
      </w:r>
      <w:r w:rsidR="009428E7">
        <w:rPr>
          <w:rFonts w:eastAsia="Times New Roman" w:cs="Verdana"/>
          <w:lang w:val="en-GB" w:eastAsia="de-DE"/>
        </w:rPr>
        <w:t xml:space="preserve"> and considering the clarifications provided via Q&amp;A tool</w:t>
      </w:r>
      <w:r w:rsidRPr="007A75B6">
        <w:rPr>
          <w:rFonts w:eastAsia="Times New Roman" w:cs="Verdana"/>
          <w:lang w:val="en-GB" w:eastAsia="de-DE"/>
        </w:rPr>
        <w:t xml:space="preserve">. </w:t>
      </w:r>
    </w:p>
    <w:p w14:paraId="25125C29" w14:textId="77777777" w:rsidR="007A75B6" w:rsidRPr="007A75B6" w:rsidRDefault="007A75B6" w:rsidP="00E01A3B">
      <w:pPr>
        <w:numPr>
          <w:ilvl w:val="1"/>
          <w:numId w:val="10"/>
        </w:numPr>
        <w:autoSpaceDE w:val="0"/>
        <w:autoSpaceDN w:val="0"/>
        <w:adjustRightInd w:val="0"/>
        <w:spacing w:line="276" w:lineRule="auto"/>
        <w:jc w:val="both"/>
        <w:rPr>
          <w:rFonts w:eastAsia="Times New Roman" w:cs="Verdana"/>
          <w:lang w:val="en-GB" w:eastAsia="de-DE"/>
        </w:rPr>
      </w:pPr>
      <w:r w:rsidRPr="007A75B6">
        <w:rPr>
          <w:rFonts w:eastAsia="Times New Roman" w:cs="Verdana"/>
          <w:lang w:val="en-GB" w:eastAsia="de-DE"/>
        </w:rPr>
        <w:t>In particular the baseline scenario includes:</w:t>
      </w:r>
    </w:p>
    <w:p w14:paraId="25125C2A" w14:textId="4666AC4B" w:rsidR="007A75B6" w:rsidRPr="007A75B6" w:rsidRDefault="007A75B6" w:rsidP="00E01A3B">
      <w:pPr>
        <w:numPr>
          <w:ilvl w:val="0"/>
          <w:numId w:val="9"/>
        </w:numPr>
        <w:autoSpaceDE w:val="0"/>
        <w:autoSpaceDN w:val="0"/>
        <w:adjustRightInd w:val="0"/>
        <w:spacing w:line="276" w:lineRule="auto"/>
        <w:ind w:left="1276" w:hanging="567"/>
        <w:jc w:val="both"/>
        <w:rPr>
          <w:rFonts w:eastAsia="Times New Roman" w:cs="Verdana"/>
          <w:lang w:val="en-GB" w:eastAsia="de-DE"/>
        </w:rPr>
      </w:pPr>
      <w:r w:rsidRPr="007A75B6">
        <w:rPr>
          <w:rFonts w:eastAsia="Times New Roman" w:cs="Verdana"/>
          <w:lang w:val="en-GB" w:eastAsia="de-DE"/>
        </w:rPr>
        <w:t xml:space="preserve">The content of Directive 2009/138/EC (Solvency II) as amended by Directive 2014/51/EU (Omnibus II); </w:t>
      </w:r>
    </w:p>
    <w:p w14:paraId="25125C2B" w14:textId="5DDF9A08" w:rsidR="007A75B6" w:rsidRPr="007A75B6" w:rsidRDefault="007A75B6" w:rsidP="00E01A3B">
      <w:pPr>
        <w:numPr>
          <w:ilvl w:val="0"/>
          <w:numId w:val="9"/>
        </w:numPr>
        <w:autoSpaceDE w:val="0"/>
        <w:autoSpaceDN w:val="0"/>
        <w:adjustRightInd w:val="0"/>
        <w:spacing w:line="276" w:lineRule="auto"/>
        <w:ind w:left="1276" w:hanging="567"/>
        <w:jc w:val="both"/>
        <w:rPr>
          <w:rFonts w:eastAsia="Times New Roman" w:cs="Verdana"/>
          <w:lang w:val="en-GB" w:eastAsia="de-DE"/>
        </w:rPr>
      </w:pPr>
      <w:r w:rsidRPr="007A75B6">
        <w:rPr>
          <w:rFonts w:eastAsia="Times New Roman" w:cs="Verdana"/>
          <w:lang w:val="en-GB" w:eastAsia="de-DE"/>
        </w:rPr>
        <w:t>The Delegated Regulation 2015/35 and the amendments to it adopted by the European Commission on 30 September 2015;</w:t>
      </w:r>
    </w:p>
    <w:p w14:paraId="0A076784" w14:textId="2DF179F5" w:rsidR="009428E7" w:rsidRDefault="007A75B6" w:rsidP="00E01A3B">
      <w:pPr>
        <w:numPr>
          <w:ilvl w:val="0"/>
          <w:numId w:val="9"/>
        </w:numPr>
        <w:autoSpaceDE w:val="0"/>
        <w:autoSpaceDN w:val="0"/>
        <w:adjustRightInd w:val="0"/>
        <w:spacing w:line="276" w:lineRule="auto"/>
        <w:ind w:left="1276" w:hanging="567"/>
        <w:jc w:val="both"/>
        <w:rPr>
          <w:rFonts w:eastAsia="Times New Roman" w:cs="Verdana"/>
          <w:lang w:val="en-GB" w:eastAsia="de-DE"/>
        </w:rPr>
      </w:pPr>
      <w:r w:rsidRPr="007A75B6">
        <w:rPr>
          <w:rFonts w:eastAsia="Times New Roman" w:cs="Verdana"/>
          <w:lang w:val="en-GB" w:eastAsia="de-DE"/>
        </w:rPr>
        <w:t>Commission Implementing Regulation (EU) 2015/2450 (Reporting ITS)</w:t>
      </w:r>
      <w:r w:rsidR="009428E7">
        <w:rPr>
          <w:rFonts w:eastAsia="Times New Roman" w:cs="Verdana"/>
          <w:lang w:val="en-GB" w:eastAsia="de-DE"/>
        </w:rPr>
        <w:t xml:space="preserve"> as amended by </w:t>
      </w:r>
      <w:r w:rsidR="007A1021" w:rsidRPr="007A1021">
        <w:rPr>
          <w:rFonts w:eastAsia="Times New Roman" w:cs="Verdana"/>
          <w:lang w:val="en-GB" w:eastAsia="de-DE"/>
        </w:rPr>
        <w:t>Commission Implementing Regulation (EU) 2016/1868</w:t>
      </w:r>
      <w:r w:rsidR="007A1021">
        <w:rPr>
          <w:rFonts w:eastAsia="Times New Roman" w:cs="Verdana"/>
          <w:lang w:val="en-GB" w:eastAsia="de-DE"/>
        </w:rPr>
        <w:t>;</w:t>
      </w:r>
    </w:p>
    <w:p w14:paraId="731DF4A2" w14:textId="040D3888" w:rsidR="008D188D" w:rsidRDefault="008D188D" w:rsidP="008B40E9">
      <w:pPr>
        <w:numPr>
          <w:ilvl w:val="0"/>
          <w:numId w:val="9"/>
        </w:numPr>
        <w:autoSpaceDE w:val="0"/>
        <w:autoSpaceDN w:val="0"/>
        <w:adjustRightInd w:val="0"/>
        <w:spacing w:line="276" w:lineRule="auto"/>
        <w:ind w:left="1276" w:hanging="567"/>
        <w:jc w:val="both"/>
        <w:rPr>
          <w:rFonts w:eastAsia="Times New Roman" w:cs="Verdana"/>
          <w:lang w:val="en-GB" w:eastAsia="de-DE"/>
        </w:rPr>
      </w:pPr>
      <w:r w:rsidRPr="008D188D">
        <w:rPr>
          <w:rFonts w:eastAsia="Times New Roman" w:cs="Verdana"/>
          <w:lang w:val="en-GB" w:eastAsia="de-DE"/>
        </w:rPr>
        <w:t xml:space="preserve">Commission Implementing Regulation (EU) 2015/2452 </w:t>
      </w:r>
      <w:r>
        <w:rPr>
          <w:rFonts w:eastAsia="Times New Roman" w:cs="Verdana"/>
          <w:lang w:val="en-GB" w:eastAsia="de-DE"/>
        </w:rPr>
        <w:t>(Disclosure ITS);</w:t>
      </w:r>
    </w:p>
    <w:p w14:paraId="3B32F71B" w14:textId="77777777" w:rsidR="00143C64" w:rsidRPr="007A75B6" w:rsidRDefault="00143C64" w:rsidP="00143C64">
      <w:pPr>
        <w:numPr>
          <w:ilvl w:val="0"/>
          <w:numId w:val="9"/>
        </w:numPr>
        <w:autoSpaceDE w:val="0"/>
        <w:autoSpaceDN w:val="0"/>
        <w:adjustRightInd w:val="0"/>
        <w:spacing w:line="276" w:lineRule="auto"/>
        <w:ind w:left="1276" w:hanging="567"/>
        <w:jc w:val="both"/>
        <w:rPr>
          <w:rFonts w:eastAsia="Times New Roman" w:cs="Verdana"/>
          <w:lang w:val="en-GB" w:eastAsia="de-DE"/>
        </w:rPr>
      </w:pPr>
      <w:r w:rsidRPr="007A75B6">
        <w:rPr>
          <w:rFonts w:eastAsia="Times New Roman" w:cs="Verdana"/>
          <w:lang w:val="en-GB" w:eastAsia="de-DE"/>
        </w:rPr>
        <w:t>EIOPA Guidelines on Reporting and Disclosure;</w:t>
      </w:r>
    </w:p>
    <w:p w14:paraId="25125C2D" w14:textId="062CECC1" w:rsidR="007A75B6" w:rsidRDefault="009428E7" w:rsidP="00E01A3B">
      <w:pPr>
        <w:numPr>
          <w:ilvl w:val="0"/>
          <w:numId w:val="9"/>
        </w:numPr>
        <w:autoSpaceDE w:val="0"/>
        <w:autoSpaceDN w:val="0"/>
        <w:adjustRightInd w:val="0"/>
        <w:spacing w:line="276" w:lineRule="auto"/>
        <w:ind w:left="1276" w:hanging="567"/>
        <w:jc w:val="both"/>
        <w:rPr>
          <w:rFonts w:eastAsia="Times New Roman" w:cs="Verdana"/>
          <w:lang w:val="en-GB" w:eastAsia="de-DE"/>
        </w:rPr>
      </w:pPr>
      <w:r>
        <w:rPr>
          <w:rFonts w:eastAsia="Times New Roman" w:cs="Verdana"/>
          <w:lang w:val="en-GB" w:eastAsia="de-DE"/>
        </w:rPr>
        <w:t>Q&amp;A published in EIOPA website</w:t>
      </w:r>
      <w:r w:rsidR="007A1021">
        <w:rPr>
          <w:rFonts w:eastAsia="Times New Roman" w:cs="Verdana"/>
          <w:lang w:val="en-GB" w:eastAsia="de-DE"/>
        </w:rPr>
        <w:t xml:space="preserve"> (</w:t>
      </w:r>
      <w:hyperlink r:id="rId12" w:history="1">
        <w:r w:rsidR="007A1021" w:rsidRPr="006C780A">
          <w:rPr>
            <w:rStyle w:val="Hyperlink"/>
            <w:rFonts w:eastAsia="Times New Roman" w:cs="Verdana"/>
            <w:lang w:val="en-GB" w:eastAsia="de-DE"/>
          </w:rPr>
          <w:t>https://eiopa.europa.eu/regulation-supervision/q-a-on-regulation</w:t>
        </w:r>
      </w:hyperlink>
      <w:r w:rsidR="007A1021">
        <w:rPr>
          <w:rFonts w:eastAsia="Times New Roman" w:cs="Verdana"/>
          <w:lang w:val="en-GB" w:eastAsia="de-DE"/>
        </w:rPr>
        <w:t>)</w:t>
      </w:r>
      <w:r w:rsidR="007A75B6" w:rsidRPr="007A75B6">
        <w:rPr>
          <w:rFonts w:eastAsia="Times New Roman" w:cs="Verdana"/>
          <w:lang w:val="en-GB" w:eastAsia="de-DE"/>
        </w:rPr>
        <w:t>.</w:t>
      </w:r>
    </w:p>
    <w:p w14:paraId="04834A6F" w14:textId="77777777" w:rsidR="007A1021" w:rsidRPr="007A75B6" w:rsidRDefault="007A1021" w:rsidP="007A1021">
      <w:pPr>
        <w:autoSpaceDE w:val="0"/>
        <w:autoSpaceDN w:val="0"/>
        <w:adjustRightInd w:val="0"/>
        <w:spacing w:line="276" w:lineRule="auto"/>
        <w:ind w:left="720"/>
        <w:jc w:val="both"/>
        <w:rPr>
          <w:rFonts w:eastAsia="Times New Roman" w:cs="Verdana"/>
          <w:lang w:val="en-GB" w:eastAsia="de-DE"/>
        </w:rPr>
      </w:pPr>
    </w:p>
    <w:p w14:paraId="25125C2E" w14:textId="77777777" w:rsidR="007A75B6" w:rsidRPr="00263F07" w:rsidRDefault="007A75B6" w:rsidP="00EE1105">
      <w:pPr>
        <w:pStyle w:val="Heading2"/>
        <w:rPr>
          <w:lang w:eastAsia="en-GB"/>
        </w:rPr>
      </w:pPr>
      <w:bookmarkStart w:id="6" w:name="_Toc403734690"/>
      <w:bookmarkStart w:id="7" w:name="_Toc403734716"/>
      <w:r w:rsidRPr="00974911">
        <w:rPr>
          <w:lang w:eastAsia="en-GB"/>
        </w:rPr>
        <w:t>Section 3: Objectives Pursued</w:t>
      </w:r>
      <w:bookmarkEnd w:id="6"/>
      <w:bookmarkEnd w:id="7"/>
    </w:p>
    <w:p w14:paraId="25125C2F" w14:textId="77777777" w:rsidR="007A75B6" w:rsidRPr="00263F07" w:rsidRDefault="007A75B6" w:rsidP="00E01A3B">
      <w:pPr>
        <w:numPr>
          <w:ilvl w:val="0"/>
          <w:numId w:val="8"/>
        </w:numPr>
        <w:autoSpaceDE w:val="0"/>
        <w:autoSpaceDN w:val="0"/>
        <w:adjustRightInd w:val="0"/>
        <w:spacing w:before="0" w:after="0"/>
        <w:jc w:val="both"/>
        <w:rPr>
          <w:rFonts w:eastAsia="Times New Roman" w:cs="Verdana"/>
          <w:vanish/>
          <w:lang w:val="en-US" w:eastAsia="de-DE"/>
        </w:rPr>
      </w:pPr>
    </w:p>
    <w:p w14:paraId="5F69EB53" w14:textId="586B430A" w:rsidR="00E228F6" w:rsidRPr="008D6585" w:rsidRDefault="007A75B6" w:rsidP="00E01A3B">
      <w:pPr>
        <w:numPr>
          <w:ilvl w:val="1"/>
          <w:numId w:val="10"/>
        </w:numPr>
        <w:autoSpaceDE w:val="0"/>
        <w:autoSpaceDN w:val="0"/>
        <w:adjustRightInd w:val="0"/>
        <w:spacing w:line="276" w:lineRule="auto"/>
        <w:jc w:val="both"/>
        <w:rPr>
          <w:lang w:val="en-GB"/>
        </w:rPr>
      </w:pPr>
      <w:r w:rsidRPr="007A75B6">
        <w:rPr>
          <w:rFonts w:eastAsia="Times New Roman" w:cs="Verdana"/>
          <w:lang w:val="en-GB" w:eastAsia="de-DE"/>
        </w:rPr>
        <w:t>The proposed amendment to the technical standard aim</w:t>
      </w:r>
      <w:r w:rsidR="007A2F36">
        <w:rPr>
          <w:rFonts w:eastAsia="Times New Roman" w:cs="Verdana"/>
          <w:lang w:val="en-GB" w:eastAsia="de-DE"/>
        </w:rPr>
        <w:t>s</w:t>
      </w:r>
      <w:r w:rsidRPr="007A75B6">
        <w:rPr>
          <w:rFonts w:eastAsia="Times New Roman" w:cs="Verdana"/>
          <w:lang w:val="en-GB" w:eastAsia="de-DE"/>
        </w:rPr>
        <w:t xml:space="preserve"> at </w:t>
      </w:r>
      <w:r w:rsidR="00E228F6">
        <w:rPr>
          <w:rFonts w:eastAsia="Times New Roman" w:cs="Verdana"/>
          <w:lang w:val="en-GB" w:eastAsia="de-DE"/>
        </w:rPr>
        <w:t xml:space="preserve">providing legal certainty and reflection in the implementation tools of clarifications/interpretations provided through </w:t>
      </w:r>
      <w:r w:rsidR="00473713">
        <w:rPr>
          <w:rFonts w:eastAsia="Times New Roman" w:cs="Verdana"/>
          <w:lang w:val="en-GB" w:eastAsia="de-DE"/>
        </w:rPr>
        <w:t>th</w:t>
      </w:r>
      <w:r w:rsidR="00E228F6">
        <w:rPr>
          <w:rFonts w:eastAsia="Times New Roman" w:cs="Verdana"/>
          <w:lang w:val="en-GB" w:eastAsia="de-DE"/>
        </w:rPr>
        <w:t>e Q&amp;A tool</w:t>
      </w:r>
      <w:r w:rsidR="007A2F36">
        <w:rPr>
          <w:rFonts w:eastAsia="Times New Roman" w:cs="Verdana"/>
          <w:lang w:val="en-GB" w:eastAsia="de-DE"/>
        </w:rPr>
        <w:t>,</w:t>
      </w:r>
      <w:r w:rsidR="00E228F6">
        <w:rPr>
          <w:rFonts w:eastAsia="Times New Roman" w:cs="Verdana"/>
          <w:lang w:val="en-GB" w:eastAsia="de-DE"/>
        </w:rPr>
        <w:t xml:space="preserve"> contribute to a better </w:t>
      </w:r>
      <w:r w:rsidR="00E228F6" w:rsidRPr="00370CD8">
        <w:rPr>
          <w:lang w:val="en-GB"/>
        </w:rPr>
        <w:t xml:space="preserve">understanding of the current requirements, </w:t>
      </w:r>
      <w:r w:rsidR="00E228F6">
        <w:rPr>
          <w:lang w:val="en-GB"/>
        </w:rPr>
        <w:t xml:space="preserve">the </w:t>
      </w:r>
      <w:r w:rsidR="00E228F6" w:rsidRPr="00370CD8">
        <w:rPr>
          <w:lang w:val="en-GB"/>
        </w:rPr>
        <w:t xml:space="preserve">consistent application of technical standard and </w:t>
      </w:r>
      <w:r w:rsidR="00E228F6">
        <w:rPr>
          <w:lang w:val="en-GB"/>
        </w:rPr>
        <w:t xml:space="preserve">improve the </w:t>
      </w:r>
      <w:r w:rsidR="00E228F6" w:rsidRPr="00370CD8">
        <w:rPr>
          <w:lang w:val="en-GB"/>
        </w:rPr>
        <w:t>quality of the information</w:t>
      </w:r>
      <w:r w:rsidR="00E228F6">
        <w:rPr>
          <w:lang w:val="en-GB"/>
        </w:rPr>
        <w:t xml:space="preserve"> reported. </w:t>
      </w:r>
    </w:p>
    <w:p w14:paraId="0AC4E645" w14:textId="3DCD2F6C" w:rsidR="003741BF" w:rsidRPr="00E228F6" w:rsidRDefault="003741BF" w:rsidP="00E01A3B">
      <w:pPr>
        <w:numPr>
          <w:ilvl w:val="1"/>
          <w:numId w:val="10"/>
        </w:numPr>
        <w:autoSpaceDE w:val="0"/>
        <w:autoSpaceDN w:val="0"/>
        <w:adjustRightInd w:val="0"/>
        <w:spacing w:line="276" w:lineRule="auto"/>
        <w:jc w:val="both"/>
        <w:rPr>
          <w:rFonts w:eastAsia="Times New Roman" w:cs="Verdana"/>
          <w:lang w:val="en-GB" w:eastAsia="de-DE"/>
        </w:rPr>
      </w:pPr>
      <w:r>
        <w:rPr>
          <w:lang w:val="en-GB"/>
        </w:rPr>
        <w:t>The proposed amendment with the timing proposed also aims to avoid the implementation of a new Taxonomy, which will have costs for all stakeholders, that does not reflect all issues identified until now. This would translate into more costs in a near future.</w:t>
      </w:r>
    </w:p>
    <w:p w14:paraId="113EBDB7" w14:textId="69FAD292" w:rsidR="00473713" w:rsidRPr="00473713" w:rsidRDefault="00E228F6" w:rsidP="00E01A3B">
      <w:pPr>
        <w:numPr>
          <w:ilvl w:val="1"/>
          <w:numId w:val="10"/>
        </w:numPr>
        <w:autoSpaceDE w:val="0"/>
        <w:autoSpaceDN w:val="0"/>
        <w:adjustRightInd w:val="0"/>
        <w:spacing w:line="276" w:lineRule="auto"/>
        <w:jc w:val="both"/>
        <w:rPr>
          <w:rFonts w:eastAsia="Times New Roman" w:cs="Verdana"/>
          <w:lang w:val="en-GB" w:eastAsia="de-DE"/>
        </w:rPr>
      </w:pPr>
      <w:r>
        <w:rPr>
          <w:lang w:val="en-GB"/>
        </w:rPr>
        <w:t>The</w:t>
      </w:r>
      <w:r w:rsidR="00470D13">
        <w:rPr>
          <w:lang w:val="en-GB"/>
        </w:rPr>
        <w:t xml:space="preserve"> </w:t>
      </w:r>
      <w:r w:rsidR="003741BF">
        <w:rPr>
          <w:lang w:val="en-GB"/>
        </w:rPr>
        <w:t xml:space="preserve">corrections that are </w:t>
      </w:r>
      <w:r>
        <w:rPr>
          <w:lang w:val="en-GB"/>
        </w:rPr>
        <w:t xml:space="preserve">amendments </w:t>
      </w:r>
      <w:r w:rsidR="003741BF">
        <w:rPr>
          <w:lang w:val="en-GB"/>
        </w:rPr>
        <w:t xml:space="preserve">from a legal perspective </w:t>
      </w:r>
      <w:r>
        <w:rPr>
          <w:lang w:val="en-GB"/>
        </w:rPr>
        <w:t>aim to</w:t>
      </w:r>
      <w:r w:rsidR="00473713">
        <w:rPr>
          <w:lang w:val="en-GB"/>
        </w:rPr>
        <w:t>:</w:t>
      </w:r>
    </w:p>
    <w:p w14:paraId="46E6A249" w14:textId="1D2036A1" w:rsidR="00473713" w:rsidRPr="00473713" w:rsidRDefault="00E228F6" w:rsidP="00E01A3B">
      <w:pPr>
        <w:numPr>
          <w:ilvl w:val="1"/>
          <w:numId w:val="17"/>
        </w:numPr>
        <w:autoSpaceDE w:val="0"/>
        <w:autoSpaceDN w:val="0"/>
        <w:adjustRightInd w:val="0"/>
        <w:spacing w:line="276" w:lineRule="auto"/>
        <w:ind w:left="1276" w:hanging="425"/>
        <w:jc w:val="both"/>
        <w:rPr>
          <w:rFonts w:eastAsia="Times New Roman" w:cs="Verdana"/>
          <w:lang w:val="en-GB" w:eastAsia="de-DE"/>
        </w:rPr>
      </w:pPr>
      <w:r>
        <w:rPr>
          <w:lang w:val="en-GB"/>
        </w:rPr>
        <w:t>increase the consistency among the reporting framework</w:t>
      </w:r>
      <w:r w:rsidR="00473713">
        <w:rPr>
          <w:lang w:val="en-GB"/>
        </w:rPr>
        <w:t xml:space="preserve"> (amendment d), f) and g)</w:t>
      </w:r>
      <w:r w:rsidR="006C3ECC">
        <w:rPr>
          <w:lang w:val="en-GB"/>
        </w:rPr>
        <w:t xml:space="preserve"> identified below)</w:t>
      </w:r>
      <w:r w:rsidR="00473713">
        <w:rPr>
          <w:lang w:val="en-GB"/>
        </w:rPr>
        <w:t>;</w:t>
      </w:r>
    </w:p>
    <w:p w14:paraId="480D854D" w14:textId="54B4CAA5" w:rsidR="00473713" w:rsidRPr="00473713" w:rsidRDefault="005771FE" w:rsidP="00E01A3B">
      <w:pPr>
        <w:numPr>
          <w:ilvl w:val="1"/>
          <w:numId w:val="17"/>
        </w:numPr>
        <w:autoSpaceDE w:val="0"/>
        <w:autoSpaceDN w:val="0"/>
        <w:adjustRightInd w:val="0"/>
        <w:spacing w:line="276" w:lineRule="auto"/>
        <w:ind w:left="1276" w:hanging="425"/>
        <w:jc w:val="both"/>
        <w:rPr>
          <w:rFonts w:eastAsia="Times New Roman" w:cs="Verdana"/>
          <w:lang w:val="en-GB" w:eastAsia="de-DE"/>
        </w:rPr>
      </w:pPr>
      <w:r>
        <w:rPr>
          <w:lang w:val="en-GB"/>
        </w:rPr>
        <w:t>facilitate the undertakings and NCAs</w:t>
      </w:r>
      <w:r w:rsidR="00E228F6">
        <w:rPr>
          <w:lang w:val="en-GB"/>
        </w:rPr>
        <w:t xml:space="preserve"> </w:t>
      </w:r>
      <w:r>
        <w:rPr>
          <w:lang w:val="en-GB"/>
        </w:rPr>
        <w:t xml:space="preserve">processing, validation and analyses of the information </w:t>
      </w:r>
      <w:r w:rsidR="00473713">
        <w:rPr>
          <w:lang w:val="en-GB"/>
        </w:rPr>
        <w:t>(amendment a), b), c) and h)</w:t>
      </w:r>
      <w:r w:rsidR="006C3ECC" w:rsidRPr="006C3ECC">
        <w:rPr>
          <w:lang w:val="en-GB"/>
        </w:rPr>
        <w:t xml:space="preserve"> </w:t>
      </w:r>
      <w:r w:rsidR="006C3ECC">
        <w:rPr>
          <w:lang w:val="en-GB"/>
        </w:rPr>
        <w:t>identified below</w:t>
      </w:r>
      <w:r w:rsidR="00473713">
        <w:rPr>
          <w:lang w:val="en-GB"/>
        </w:rPr>
        <w:t>);</w:t>
      </w:r>
      <w:r w:rsidR="00E228F6">
        <w:rPr>
          <w:lang w:val="en-GB"/>
        </w:rPr>
        <w:t xml:space="preserve"> and </w:t>
      </w:r>
    </w:p>
    <w:p w14:paraId="25125C30" w14:textId="4FF073B6" w:rsidR="007A75B6" w:rsidRPr="007A75B6" w:rsidRDefault="00E228F6" w:rsidP="00E01A3B">
      <w:pPr>
        <w:numPr>
          <w:ilvl w:val="1"/>
          <w:numId w:val="17"/>
        </w:numPr>
        <w:autoSpaceDE w:val="0"/>
        <w:autoSpaceDN w:val="0"/>
        <w:adjustRightInd w:val="0"/>
        <w:spacing w:line="276" w:lineRule="auto"/>
        <w:ind w:left="1276" w:hanging="425"/>
        <w:jc w:val="both"/>
        <w:rPr>
          <w:rFonts w:eastAsia="Times New Roman" w:cs="Verdana"/>
          <w:lang w:val="en-GB" w:eastAsia="de-DE"/>
        </w:rPr>
      </w:pPr>
      <w:proofErr w:type="gramStart"/>
      <w:r>
        <w:rPr>
          <w:lang w:val="en-GB"/>
        </w:rPr>
        <w:t>reflect</w:t>
      </w:r>
      <w:proofErr w:type="gramEnd"/>
      <w:r>
        <w:rPr>
          <w:lang w:val="en-GB"/>
        </w:rPr>
        <w:t xml:space="preserve"> on unintended disproportionate costs regarding the look-through approach of non-material exposures</w:t>
      </w:r>
      <w:r w:rsidR="00473713">
        <w:rPr>
          <w:lang w:val="en-GB"/>
        </w:rPr>
        <w:t xml:space="preserve"> (amendment e)</w:t>
      </w:r>
      <w:r w:rsidR="006C3ECC" w:rsidRPr="006C3ECC">
        <w:rPr>
          <w:lang w:val="en-GB"/>
        </w:rPr>
        <w:t xml:space="preserve"> </w:t>
      </w:r>
      <w:r w:rsidR="006C3ECC">
        <w:rPr>
          <w:lang w:val="en-GB"/>
        </w:rPr>
        <w:t>identified below</w:t>
      </w:r>
      <w:r w:rsidR="00473713">
        <w:rPr>
          <w:lang w:val="en-GB"/>
        </w:rPr>
        <w:t>)</w:t>
      </w:r>
      <w:r>
        <w:rPr>
          <w:lang w:val="en-GB"/>
        </w:rPr>
        <w:t xml:space="preserve">. </w:t>
      </w:r>
    </w:p>
    <w:p w14:paraId="25125C31" w14:textId="4E0A8C90" w:rsidR="007A75B6" w:rsidRPr="007A75B6" w:rsidRDefault="003741BF" w:rsidP="00E01A3B">
      <w:pPr>
        <w:numPr>
          <w:ilvl w:val="1"/>
          <w:numId w:val="10"/>
        </w:numPr>
        <w:autoSpaceDE w:val="0"/>
        <w:autoSpaceDN w:val="0"/>
        <w:adjustRightInd w:val="0"/>
        <w:spacing w:line="276" w:lineRule="auto"/>
        <w:jc w:val="both"/>
        <w:rPr>
          <w:rFonts w:eastAsia="Times New Roman" w:cs="Verdana"/>
          <w:lang w:val="en-GB" w:eastAsia="de-DE"/>
        </w:rPr>
      </w:pPr>
      <w:r>
        <w:rPr>
          <w:rFonts w:eastAsia="Times New Roman" w:cs="Verdana"/>
          <w:lang w:val="en-GB" w:eastAsia="de-DE"/>
        </w:rPr>
        <w:t>Paragraph</w:t>
      </w:r>
      <w:r w:rsidR="00C83FFF">
        <w:rPr>
          <w:rFonts w:eastAsia="Times New Roman" w:cs="Verdana"/>
          <w:lang w:val="en-GB" w:eastAsia="de-DE"/>
        </w:rPr>
        <w:t xml:space="preserve"> </w:t>
      </w:r>
      <w:r w:rsidR="006C3ECC">
        <w:rPr>
          <w:rFonts w:eastAsia="Times New Roman" w:cs="Verdana"/>
          <w:lang w:val="en-GB" w:eastAsia="de-DE"/>
        </w:rPr>
        <w:t xml:space="preserve">e) </w:t>
      </w:r>
      <w:r w:rsidR="006C3ECC">
        <w:rPr>
          <w:lang w:val="en-GB"/>
        </w:rPr>
        <w:t>below</w:t>
      </w:r>
      <w:r w:rsidR="006C3ECC">
        <w:rPr>
          <w:rFonts w:eastAsia="Times New Roman" w:cs="Verdana"/>
          <w:lang w:val="en-GB" w:eastAsia="de-DE"/>
        </w:rPr>
        <w:t xml:space="preserve"> </w:t>
      </w:r>
      <w:r w:rsidR="00C83FFF">
        <w:rPr>
          <w:rFonts w:eastAsia="Times New Roman" w:cs="Verdana"/>
          <w:lang w:val="en-GB" w:eastAsia="de-DE"/>
        </w:rPr>
        <w:t xml:space="preserve">in particular </w:t>
      </w:r>
      <w:r w:rsidR="007A75B6" w:rsidRPr="007A75B6">
        <w:rPr>
          <w:rFonts w:eastAsia="Times New Roman" w:cs="Verdana"/>
          <w:lang w:val="en-GB" w:eastAsia="de-DE"/>
        </w:rPr>
        <w:t>aim</w:t>
      </w:r>
      <w:r w:rsidR="007A2F36">
        <w:rPr>
          <w:rFonts w:eastAsia="Times New Roman" w:cs="Verdana"/>
          <w:lang w:val="en-GB" w:eastAsia="de-DE"/>
        </w:rPr>
        <w:t>s</w:t>
      </w:r>
      <w:r w:rsidR="007A75B6" w:rsidRPr="007A75B6">
        <w:rPr>
          <w:rFonts w:eastAsia="Times New Roman" w:cs="Verdana"/>
          <w:lang w:val="en-GB" w:eastAsia="de-DE"/>
        </w:rPr>
        <w:t xml:space="preserve"> at ensuring that regulatory requirements imposed on </w:t>
      </w:r>
      <w:r w:rsidR="00C83FFF">
        <w:rPr>
          <w:rFonts w:eastAsia="Times New Roman" w:cs="Verdana"/>
          <w:lang w:val="en-GB" w:eastAsia="de-DE"/>
        </w:rPr>
        <w:t>undertakings</w:t>
      </w:r>
      <w:r w:rsidR="007A75B6" w:rsidRPr="007A75B6">
        <w:rPr>
          <w:rFonts w:eastAsia="Times New Roman" w:cs="Verdana"/>
          <w:lang w:val="en-GB" w:eastAsia="de-DE"/>
        </w:rPr>
        <w:t xml:space="preserve"> are proportionate to the nature, scale and complexity of the insurer and its operations. Small insurance undertakings play an important role in the economic environment and should be subject to a balanced approach. </w:t>
      </w:r>
    </w:p>
    <w:p w14:paraId="16E1CEC0" w14:textId="54939E21" w:rsidR="00C83FFF" w:rsidRDefault="007A75B6" w:rsidP="00E01A3B">
      <w:pPr>
        <w:numPr>
          <w:ilvl w:val="1"/>
          <w:numId w:val="10"/>
        </w:numPr>
        <w:autoSpaceDE w:val="0"/>
        <w:autoSpaceDN w:val="0"/>
        <w:adjustRightInd w:val="0"/>
        <w:spacing w:line="276" w:lineRule="auto"/>
        <w:jc w:val="both"/>
        <w:rPr>
          <w:rFonts w:eastAsia="Times New Roman" w:cs="Verdana"/>
          <w:lang w:val="en-GB" w:eastAsia="de-DE"/>
        </w:rPr>
      </w:pPr>
      <w:r w:rsidRPr="007A75B6">
        <w:rPr>
          <w:rFonts w:eastAsia="Times New Roman" w:cs="Verdana"/>
          <w:lang w:val="en-GB" w:eastAsia="de-DE"/>
        </w:rPr>
        <w:t xml:space="preserve">These objectives are in line with the objective of the Solvency II Directive of harmonised supervisory methods, tools, power and reporting. </w:t>
      </w:r>
      <w:r w:rsidR="00C83FFF">
        <w:rPr>
          <w:rFonts w:eastAsia="Times New Roman" w:cs="Verdana"/>
          <w:lang w:val="en-GB" w:eastAsia="de-DE"/>
        </w:rPr>
        <w:t xml:space="preserve">It is </w:t>
      </w:r>
      <w:r w:rsidR="00654D46">
        <w:rPr>
          <w:rFonts w:eastAsia="Times New Roman" w:cs="Verdana"/>
          <w:lang w:val="en-GB" w:eastAsia="de-DE"/>
        </w:rPr>
        <w:t xml:space="preserve">justified and even expected </w:t>
      </w:r>
      <w:r w:rsidR="00C83FFF">
        <w:rPr>
          <w:rFonts w:eastAsia="Times New Roman" w:cs="Verdana"/>
          <w:lang w:val="en-GB" w:eastAsia="de-DE"/>
        </w:rPr>
        <w:t xml:space="preserve">that this type of </w:t>
      </w:r>
      <w:r w:rsidR="005771FE">
        <w:rPr>
          <w:rFonts w:eastAsia="Times New Roman" w:cs="Verdana"/>
          <w:lang w:val="en-GB" w:eastAsia="de-DE"/>
        </w:rPr>
        <w:t xml:space="preserve">minor </w:t>
      </w:r>
      <w:r w:rsidR="00C83FFF">
        <w:rPr>
          <w:rFonts w:eastAsia="Times New Roman" w:cs="Verdana"/>
          <w:lang w:val="en-GB" w:eastAsia="de-DE"/>
        </w:rPr>
        <w:t xml:space="preserve">corrections </w:t>
      </w:r>
      <w:proofErr w:type="gramStart"/>
      <w:r w:rsidR="00C83FFF">
        <w:rPr>
          <w:rFonts w:eastAsia="Times New Roman" w:cs="Verdana"/>
          <w:lang w:val="en-GB" w:eastAsia="de-DE"/>
        </w:rPr>
        <w:t>might be needed</w:t>
      </w:r>
      <w:proofErr w:type="gramEnd"/>
      <w:r w:rsidR="00C83FFF">
        <w:rPr>
          <w:rFonts w:eastAsia="Times New Roman" w:cs="Verdana"/>
          <w:lang w:val="en-GB" w:eastAsia="de-DE"/>
        </w:rPr>
        <w:t xml:space="preserve"> regularly due to the nature of t</w:t>
      </w:r>
      <w:r w:rsidR="00654D46">
        <w:rPr>
          <w:rFonts w:eastAsia="Times New Roman" w:cs="Verdana"/>
          <w:lang w:val="en-GB" w:eastAsia="de-DE"/>
        </w:rPr>
        <w:t>h</w:t>
      </w:r>
      <w:r w:rsidR="00C83FFF">
        <w:rPr>
          <w:rFonts w:eastAsia="Times New Roman" w:cs="Verdana"/>
          <w:lang w:val="en-GB" w:eastAsia="de-DE"/>
        </w:rPr>
        <w:t xml:space="preserve">e supervisory reporting framework. </w:t>
      </w:r>
    </w:p>
    <w:p w14:paraId="25125C35" w14:textId="77777777" w:rsidR="007A75B6" w:rsidRPr="00263F07" w:rsidRDefault="007A75B6" w:rsidP="00E01A3B">
      <w:pPr>
        <w:numPr>
          <w:ilvl w:val="0"/>
          <w:numId w:val="8"/>
        </w:numPr>
        <w:autoSpaceDE w:val="0"/>
        <w:autoSpaceDN w:val="0"/>
        <w:adjustRightInd w:val="0"/>
        <w:spacing w:before="0" w:after="0"/>
        <w:jc w:val="both"/>
        <w:rPr>
          <w:rFonts w:eastAsia="Times New Roman" w:cs="Verdana"/>
          <w:vanish/>
          <w:lang w:val="en-US" w:eastAsia="de-DE"/>
        </w:rPr>
      </w:pPr>
    </w:p>
    <w:p w14:paraId="25125C36" w14:textId="77777777" w:rsidR="007A75B6" w:rsidRPr="00263F07" w:rsidRDefault="007A75B6" w:rsidP="00EE1105">
      <w:pPr>
        <w:pStyle w:val="Heading2"/>
        <w:rPr>
          <w:lang w:eastAsia="en-GB"/>
        </w:rPr>
      </w:pPr>
      <w:bookmarkStart w:id="8" w:name="_Toc403734691"/>
      <w:bookmarkStart w:id="9" w:name="_Toc403734717"/>
      <w:r w:rsidRPr="00263F07">
        <w:rPr>
          <w:lang w:eastAsia="en-GB"/>
        </w:rPr>
        <w:t>Section 4: Policy options</w:t>
      </w:r>
      <w:bookmarkEnd w:id="8"/>
      <w:bookmarkEnd w:id="9"/>
    </w:p>
    <w:p w14:paraId="3AB108DF" w14:textId="26C4CC89" w:rsidR="00B2763E" w:rsidRPr="003B7F08" w:rsidRDefault="00B2763E" w:rsidP="00E01A3B">
      <w:pPr>
        <w:numPr>
          <w:ilvl w:val="1"/>
          <w:numId w:val="10"/>
        </w:numPr>
        <w:autoSpaceDE w:val="0"/>
        <w:autoSpaceDN w:val="0"/>
        <w:adjustRightInd w:val="0"/>
        <w:spacing w:line="276" w:lineRule="auto"/>
        <w:jc w:val="both"/>
        <w:rPr>
          <w:rFonts w:eastAsia="Times New Roman" w:cs="Verdana"/>
          <w:lang w:val="en-GB" w:eastAsia="de-DE"/>
        </w:rPr>
      </w:pPr>
      <w:r w:rsidRPr="003B7F08">
        <w:rPr>
          <w:rFonts w:eastAsia="Times New Roman" w:cs="Verdana"/>
          <w:lang w:val="en-GB" w:eastAsia="de-DE"/>
        </w:rPr>
        <w:t xml:space="preserve">The proposals have been divided into </w:t>
      </w:r>
      <w:r w:rsidR="00654D46" w:rsidRPr="003B7F08">
        <w:rPr>
          <w:rFonts w:eastAsia="Times New Roman" w:cs="Verdana"/>
          <w:lang w:val="en-GB" w:eastAsia="de-DE"/>
        </w:rPr>
        <w:t>2</w:t>
      </w:r>
      <w:r w:rsidRPr="003B7F08">
        <w:rPr>
          <w:rFonts w:eastAsia="Times New Roman" w:cs="Verdana"/>
          <w:lang w:val="en-GB" w:eastAsia="de-DE"/>
        </w:rPr>
        <w:t xml:space="preserve"> types: </w:t>
      </w:r>
    </w:p>
    <w:p w14:paraId="2DA5ACBA" w14:textId="05BF425D" w:rsidR="00B2763E" w:rsidRPr="00635F14" w:rsidRDefault="00B2763E" w:rsidP="00654D46">
      <w:pPr>
        <w:pStyle w:val="Bulletpoints1"/>
        <w:ind w:left="1134"/>
        <w:rPr>
          <w:rStyle w:val="Regular"/>
        </w:rPr>
      </w:pPr>
      <w:r w:rsidRPr="00635F14">
        <w:rPr>
          <w:rStyle w:val="Regular"/>
        </w:rPr>
        <w:t>Type 1: amend</w:t>
      </w:r>
      <w:r w:rsidR="005F7D3E">
        <w:rPr>
          <w:rStyle w:val="Regular"/>
        </w:rPr>
        <w:t xml:space="preserve">ment </w:t>
      </w:r>
      <w:r w:rsidRPr="00635F14">
        <w:rPr>
          <w:rStyle w:val="Regular"/>
        </w:rPr>
        <w:t>provision</w:t>
      </w:r>
      <w:r w:rsidR="00654D46">
        <w:rPr>
          <w:rStyle w:val="Regular"/>
        </w:rPr>
        <w:t>s that</w:t>
      </w:r>
      <w:r w:rsidRPr="00635F14">
        <w:rPr>
          <w:rStyle w:val="Regular"/>
        </w:rPr>
        <w:t xml:space="preserve"> might have a</w:t>
      </w:r>
      <w:r w:rsidR="00440960">
        <w:rPr>
          <w:rStyle w:val="Regular"/>
        </w:rPr>
        <w:t>n</w:t>
      </w:r>
      <w:r w:rsidRPr="00635F14">
        <w:rPr>
          <w:rStyle w:val="Regular"/>
        </w:rPr>
        <w:t xml:space="preserve"> impact</w:t>
      </w:r>
      <w:r w:rsidR="00654D46">
        <w:rPr>
          <w:rStyle w:val="Regular"/>
        </w:rPr>
        <w:t xml:space="preserve"> in implementation</w:t>
      </w:r>
      <w:r w:rsidRPr="00635F14">
        <w:rPr>
          <w:rStyle w:val="Regular"/>
        </w:rPr>
        <w:t>;</w:t>
      </w:r>
    </w:p>
    <w:p w14:paraId="47E02E4A" w14:textId="0B9AF719" w:rsidR="00B2763E" w:rsidRDefault="00654D46" w:rsidP="00B2763E">
      <w:pPr>
        <w:pStyle w:val="Bulletpoints1"/>
        <w:ind w:left="1134"/>
        <w:rPr>
          <w:rStyle w:val="Regular"/>
        </w:rPr>
      </w:pPr>
      <w:r>
        <w:rPr>
          <w:rStyle w:val="Regular"/>
        </w:rPr>
        <w:t>Type 2</w:t>
      </w:r>
      <w:r w:rsidR="00B2763E" w:rsidRPr="00635F14">
        <w:rPr>
          <w:rStyle w:val="Regular"/>
        </w:rPr>
        <w:t>: corrective provisions (</w:t>
      </w:r>
      <w:r>
        <w:rPr>
          <w:rStyle w:val="Regular"/>
        </w:rPr>
        <w:t xml:space="preserve">considered not to have a </w:t>
      </w:r>
      <w:r w:rsidR="00B2763E" w:rsidRPr="00635F14">
        <w:rPr>
          <w:rStyle w:val="Regular"/>
        </w:rPr>
        <w:t>material impact).</w:t>
      </w:r>
    </w:p>
    <w:p w14:paraId="6CA9EFA5" w14:textId="77777777" w:rsidR="003B7F08" w:rsidRPr="00635F14" w:rsidRDefault="003B7F08" w:rsidP="003B7F08">
      <w:pPr>
        <w:pStyle w:val="Bulletpoints1"/>
        <w:numPr>
          <w:ilvl w:val="0"/>
          <w:numId w:val="0"/>
        </w:numPr>
        <w:ind w:left="1134"/>
        <w:rPr>
          <w:rStyle w:val="Regular"/>
        </w:rPr>
      </w:pPr>
    </w:p>
    <w:p w14:paraId="3DE6ADFE" w14:textId="1561994B" w:rsidR="00EE1105" w:rsidRDefault="00EE1105" w:rsidP="00E01A3B">
      <w:pPr>
        <w:numPr>
          <w:ilvl w:val="1"/>
          <w:numId w:val="10"/>
        </w:numPr>
        <w:autoSpaceDE w:val="0"/>
        <w:autoSpaceDN w:val="0"/>
        <w:adjustRightInd w:val="0"/>
        <w:spacing w:line="276" w:lineRule="auto"/>
        <w:jc w:val="both"/>
        <w:rPr>
          <w:rFonts w:eastAsia="Times New Roman" w:cs="Verdana"/>
          <w:lang w:val="en-GB" w:eastAsia="de-DE"/>
        </w:rPr>
      </w:pPr>
      <w:r>
        <w:rPr>
          <w:rFonts w:eastAsia="Times New Roman" w:cs="Verdana"/>
          <w:lang w:val="en-GB" w:eastAsia="de-DE"/>
        </w:rPr>
        <w:t xml:space="preserve">In the </w:t>
      </w:r>
      <w:proofErr w:type="gramStart"/>
      <w:r>
        <w:rPr>
          <w:rFonts w:eastAsia="Times New Roman" w:cs="Verdana"/>
          <w:lang w:val="en-GB" w:eastAsia="de-DE"/>
        </w:rPr>
        <w:t>ITS</w:t>
      </w:r>
      <w:proofErr w:type="gramEnd"/>
      <w:r>
        <w:rPr>
          <w:rFonts w:eastAsia="Times New Roman" w:cs="Verdana"/>
          <w:lang w:val="en-GB" w:eastAsia="de-DE"/>
        </w:rPr>
        <w:t xml:space="preserve"> on Disclosure and Guidelines F</w:t>
      </w:r>
      <w:r w:rsidR="004707CB">
        <w:rPr>
          <w:rFonts w:eastAsia="Times New Roman" w:cs="Verdana"/>
          <w:lang w:val="en-GB" w:eastAsia="de-DE"/>
        </w:rPr>
        <w:t xml:space="preserve">inancial </w:t>
      </w:r>
      <w:r>
        <w:rPr>
          <w:rFonts w:eastAsia="Times New Roman" w:cs="Verdana"/>
          <w:lang w:val="en-GB" w:eastAsia="de-DE"/>
        </w:rPr>
        <w:t>S</w:t>
      </w:r>
      <w:r w:rsidR="004707CB">
        <w:rPr>
          <w:rFonts w:eastAsia="Times New Roman" w:cs="Verdana"/>
          <w:lang w:val="en-GB" w:eastAsia="de-DE"/>
        </w:rPr>
        <w:t>tability</w:t>
      </w:r>
      <w:r>
        <w:rPr>
          <w:rFonts w:eastAsia="Times New Roman" w:cs="Verdana"/>
          <w:lang w:val="en-GB" w:eastAsia="de-DE"/>
        </w:rPr>
        <w:t xml:space="preserve"> </w:t>
      </w:r>
      <w:r w:rsidR="004707CB">
        <w:rPr>
          <w:rFonts w:eastAsia="Times New Roman" w:cs="Verdana"/>
          <w:lang w:val="en-GB" w:eastAsia="de-DE"/>
        </w:rPr>
        <w:t xml:space="preserve">Reporting </w:t>
      </w:r>
      <w:r>
        <w:rPr>
          <w:rFonts w:eastAsia="Times New Roman" w:cs="Verdana"/>
          <w:lang w:val="en-GB" w:eastAsia="de-DE"/>
        </w:rPr>
        <w:t>only Type 2 corrections were identified. The corrections</w:t>
      </w:r>
      <w:r w:rsidR="008D5CE0">
        <w:rPr>
          <w:rFonts w:eastAsia="Times New Roman" w:cs="Verdana"/>
          <w:lang w:val="en-GB" w:eastAsia="de-DE"/>
        </w:rPr>
        <w:t xml:space="preserve"> </w:t>
      </w:r>
      <w:r>
        <w:rPr>
          <w:rFonts w:eastAsia="Times New Roman" w:cs="Verdana"/>
          <w:lang w:val="en-GB" w:eastAsia="de-DE"/>
        </w:rPr>
        <w:t>proposed in the Guideline o</w:t>
      </w:r>
      <w:r w:rsidR="004707CB">
        <w:rPr>
          <w:rFonts w:eastAsia="Times New Roman" w:cs="Verdana"/>
          <w:lang w:val="en-GB" w:eastAsia="de-DE"/>
        </w:rPr>
        <w:t>n the supervision of branches of third-country insurance undertakings</w:t>
      </w:r>
      <w:r>
        <w:rPr>
          <w:rFonts w:eastAsia="Times New Roman" w:cs="Verdana"/>
          <w:lang w:val="en-GB" w:eastAsia="de-DE"/>
        </w:rPr>
        <w:t xml:space="preserve"> reflect</w:t>
      </w:r>
      <w:r w:rsidR="004707CB">
        <w:rPr>
          <w:rFonts w:eastAsia="Times New Roman" w:cs="Verdana"/>
          <w:lang w:val="en-GB" w:eastAsia="de-DE"/>
        </w:rPr>
        <w:t>, when applicable,</w:t>
      </w:r>
      <w:r>
        <w:rPr>
          <w:rFonts w:eastAsia="Times New Roman" w:cs="Verdana"/>
          <w:lang w:val="en-GB" w:eastAsia="de-DE"/>
        </w:rPr>
        <w:t xml:space="preserve"> the ones</w:t>
      </w:r>
      <w:r w:rsidR="004707CB">
        <w:rPr>
          <w:rFonts w:eastAsia="Times New Roman" w:cs="Verdana"/>
          <w:lang w:val="en-GB" w:eastAsia="de-DE"/>
        </w:rPr>
        <w:t xml:space="preserve"> under analysis for </w:t>
      </w:r>
      <w:r>
        <w:rPr>
          <w:rFonts w:eastAsia="Times New Roman" w:cs="Verdana"/>
          <w:lang w:val="en-GB" w:eastAsia="de-DE"/>
        </w:rPr>
        <w:t xml:space="preserve">the </w:t>
      </w:r>
      <w:proofErr w:type="gramStart"/>
      <w:r>
        <w:rPr>
          <w:rFonts w:eastAsia="Times New Roman" w:cs="Verdana"/>
          <w:lang w:val="en-GB" w:eastAsia="de-DE"/>
        </w:rPr>
        <w:t>ITS</w:t>
      </w:r>
      <w:proofErr w:type="gramEnd"/>
      <w:r>
        <w:rPr>
          <w:rFonts w:eastAsia="Times New Roman" w:cs="Verdana"/>
          <w:lang w:val="en-GB" w:eastAsia="de-DE"/>
        </w:rPr>
        <w:t xml:space="preserve"> on Reporting, therefore it is considered that the impact assessment that follows is also applicable to this Guidelines.</w:t>
      </w:r>
    </w:p>
    <w:p w14:paraId="78C9CBBF" w14:textId="3800E3AA" w:rsidR="00A06365" w:rsidRDefault="00A06365" w:rsidP="00E01A3B">
      <w:pPr>
        <w:numPr>
          <w:ilvl w:val="1"/>
          <w:numId w:val="10"/>
        </w:numPr>
        <w:autoSpaceDE w:val="0"/>
        <w:autoSpaceDN w:val="0"/>
        <w:adjustRightInd w:val="0"/>
        <w:spacing w:line="276" w:lineRule="auto"/>
        <w:jc w:val="both"/>
        <w:rPr>
          <w:rFonts w:eastAsia="Times New Roman" w:cs="Verdana"/>
          <w:lang w:val="en-GB" w:eastAsia="de-DE"/>
        </w:rPr>
      </w:pPr>
      <w:r>
        <w:rPr>
          <w:rFonts w:eastAsia="Times New Roman" w:cs="Verdana"/>
          <w:lang w:val="en-GB" w:eastAsia="de-DE"/>
        </w:rPr>
        <w:t xml:space="preserve">For </w:t>
      </w:r>
      <w:proofErr w:type="gramStart"/>
      <w:r>
        <w:rPr>
          <w:rFonts w:eastAsia="Times New Roman" w:cs="Verdana"/>
          <w:lang w:val="en-GB" w:eastAsia="de-DE"/>
        </w:rPr>
        <w:t>ITS</w:t>
      </w:r>
      <w:proofErr w:type="gramEnd"/>
      <w:r>
        <w:rPr>
          <w:rFonts w:eastAsia="Times New Roman" w:cs="Verdana"/>
          <w:lang w:val="en-GB" w:eastAsia="de-DE"/>
        </w:rPr>
        <w:t xml:space="preserve"> on Reporting</w:t>
      </w:r>
      <w:r w:rsidR="004707CB">
        <w:rPr>
          <w:rFonts w:eastAsia="Times New Roman" w:cs="Verdana"/>
          <w:lang w:val="en-GB" w:eastAsia="de-DE"/>
        </w:rPr>
        <w:t>,</w:t>
      </w:r>
      <w:r>
        <w:rPr>
          <w:rFonts w:eastAsia="Times New Roman" w:cs="Verdana"/>
          <w:lang w:val="en-GB" w:eastAsia="de-DE"/>
        </w:rPr>
        <w:t xml:space="preserve"> Instructions </w:t>
      </w:r>
      <w:r w:rsidR="004707CB">
        <w:rPr>
          <w:rFonts w:eastAsia="Times New Roman" w:cs="Verdana"/>
          <w:lang w:val="en-GB" w:eastAsia="de-DE"/>
        </w:rPr>
        <w:t xml:space="preserve">for solo and group (Annex 2 and Annex 3 of the ITS) are made available </w:t>
      </w:r>
      <w:r>
        <w:rPr>
          <w:rFonts w:eastAsia="Times New Roman" w:cs="Verdana"/>
          <w:lang w:val="en-GB" w:eastAsia="de-DE"/>
        </w:rPr>
        <w:t xml:space="preserve">in track changes to facilitate the identification of the corrections. In relation to the other documents, only documents in a format similar to </w:t>
      </w:r>
      <w:r w:rsidR="004707CB">
        <w:rPr>
          <w:rFonts w:eastAsia="Times New Roman" w:cs="Verdana"/>
          <w:lang w:val="en-GB" w:eastAsia="de-DE"/>
        </w:rPr>
        <w:t>‘</w:t>
      </w:r>
      <w:r>
        <w:rPr>
          <w:rFonts w:eastAsia="Times New Roman" w:cs="Verdana"/>
          <w:lang w:val="en-GB" w:eastAsia="de-DE"/>
        </w:rPr>
        <w:t>Errata</w:t>
      </w:r>
      <w:r w:rsidR="004707CB">
        <w:rPr>
          <w:rFonts w:eastAsia="Times New Roman" w:cs="Verdana"/>
          <w:lang w:val="en-GB" w:eastAsia="de-DE"/>
        </w:rPr>
        <w:t>’</w:t>
      </w:r>
      <w:r>
        <w:rPr>
          <w:rFonts w:eastAsia="Times New Roman" w:cs="Verdana"/>
          <w:lang w:val="en-GB" w:eastAsia="de-DE"/>
        </w:rPr>
        <w:t xml:space="preserve"> are available. </w:t>
      </w:r>
    </w:p>
    <w:p w14:paraId="2E735F9B" w14:textId="4D93D5C7" w:rsidR="00654D46" w:rsidRDefault="00654D46" w:rsidP="00E01A3B">
      <w:pPr>
        <w:numPr>
          <w:ilvl w:val="1"/>
          <w:numId w:val="10"/>
        </w:numPr>
        <w:autoSpaceDE w:val="0"/>
        <w:autoSpaceDN w:val="0"/>
        <w:adjustRightInd w:val="0"/>
        <w:spacing w:line="276" w:lineRule="auto"/>
        <w:jc w:val="both"/>
        <w:rPr>
          <w:rFonts w:eastAsia="Times New Roman" w:cs="Verdana"/>
          <w:lang w:val="en-GB" w:eastAsia="de-DE"/>
        </w:rPr>
      </w:pPr>
      <w:r>
        <w:rPr>
          <w:rFonts w:eastAsia="Times New Roman" w:cs="Verdana"/>
          <w:lang w:val="en-GB" w:eastAsia="de-DE"/>
        </w:rPr>
        <w:t xml:space="preserve">The impact assessment was developed for each of the amending provision identified as type 1, </w:t>
      </w:r>
      <w:r w:rsidR="005D2CB0">
        <w:rPr>
          <w:rFonts w:eastAsia="Times New Roman" w:cs="Verdana"/>
          <w:lang w:val="en-GB" w:eastAsia="de-DE"/>
        </w:rPr>
        <w:t>and these</w:t>
      </w:r>
      <w:r>
        <w:rPr>
          <w:rFonts w:eastAsia="Times New Roman" w:cs="Verdana"/>
          <w:lang w:val="en-GB" w:eastAsia="de-DE"/>
        </w:rPr>
        <w:t xml:space="preserve"> are:</w:t>
      </w:r>
    </w:p>
    <w:p w14:paraId="3AA38777" w14:textId="77777777" w:rsidR="00654D46" w:rsidRPr="00654D46" w:rsidRDefault="00654D46" w:rsidP="00E01A3B">
      <w:pPr>
        <w:pStyle w:val="ListParagraph"/>
        <w:numPr>
          <w:ilvl w:val="0"/>
          <w:numId w:val="15"/>
        </w:numPr>
        <w:spacing w:after="0"/>
        <w:ind w:left="1276"/>
        <w:jc w:val="both"/>
        <w:rPr>
          <w:lang w:val="en-GB"/>
        </w:rPr>
      </w:pPr>
      <w:r w:rsidRPr="00654D46">
        <w:rPr>
          <w:lang w:val="en-GB"/>
        </w:rPr>
        <w:t>Introduction of new types of undertakings in the close list of S.01.02.C0010/R0040;</w:t>
      </w:r>
    </w:p>
    <w:p w14:paraId="2E90B3ED" w14:textId="77777777" w:rsidR="00654D46" w:rsidRPr="00654D46" w:rsidRDefault="00654D46" w:rsidP="00E01A3B">
      <w:pPr>
        <w:pStyle w:val="ListParagraph"/>
        <w:numPr>
          <w:ilvl w:val="0"/>
          <w:numId w:val="15"/>
        </w:numPr>
        <w:spacing w:after="0"/>
        <w:ind w:left="1276"/>
        <w:jc w:val="both"/>
        <w:rPr>
          <w:lang w:val="en-GB"/>
        </w:rPr>
      </w:pPr>
      <w:r w:rsidRPr="00654D46">
        <w:rPr>
          <w:lang w:val="en-GB"/>
        </w:rPr>
        <w:t>Introduction of new item in S.01.02 indicating if undertaking has a non-financial year end;</w:t>
      </w:r>
    </w:p>
    <w:p w14:paraId="005360D2" w14:textId="77777777" w:rsidR="00654D46" w:rsidRPr="00654D46" w:rsidRDefault="00654D46" w:rsidP="00E01A3B">
      <w:pPr>
        <w:pStyle w:val="ListParagraph"/>
        <w:numPr>
          <w:ilvl w:val="0"/>
          <w:numId w:val="15"/>
        </w:numPr>
        <w:spacing w:after="0"/>
        <w:ind w:left="1276"/>
        <w:jc w:val="both"/>
        <w:rPr>
          <w:lang w:val="en-GB"/>
        </w:rPr>
      </w:pPr>
      <w:r w:rsidRPr="00654D46">
        <w:rPr>
          <w:lang w:val="en-GB"/>
        </w:rPr>
        <w:t>Introduction of new options in close list for ad-hoc reporting in S.01.02.C0010/R0100;</w:t>
      </w:r>
    </w:p>
    <w:p w14:paraId="19B603FA" w14:textId="77777777" w:rsidR="00654D46" w:rsidRPr="00654D46" w:rsidRDefault="00654D46" w:rsidP="00E01A3B">
      <w:pPr>
        <w:pStyle w:val="ListParagraph"/>
        <w:numPr>
          <w:ilvl w:val="0"/>
          <w:numId w:val="15"/>
        </w:numPr>
        <w:spacing w:after="0"/>
        <w:ind w:left="1276"/>
        <w:jc w:val="both"/>
        <w:rPr>
          <w:rStyle w:val="Regular"/>
          <w:lang w:val="en-GB"/>
        </w:rPr>
      </w:pPr>
      <w:r w:rsidRPr="00654D46">
        <w:rPr>
          <w:rStyle w:val="Regular"/>
          <w:lang w:val="en-GB"/>
        </w:rPr>
        <w:t>Inclusion of investment contracts</w:t>
      </w:r>
      <w:r w:rsidRPr="00654D46">
        <w:rPr>
          <w:lang w:val="en-GB"/>
        </w:rPr>
        <w:t xml:space="preserve"> in the scope S.04/</w:t>
      </w:r>
      <w:r w:rsidRPr="00654D46">
        <w:rPr>
          <w:rStyle w:val="Regular"/>
          <w:lang w:val="en-GB"/>
        </w:rPr>
        <w:t>S.05;</w:t>
      </w:r>
    </w:p>
    <w:p w14:paraId="76C33D53" w14:textId="77777777" w:rsidR="00654D46" w:rsidRPr="00A92B00" w:rsidRDefault="00654D46" w:rsidP="00E01A3B">
      <w:pPr>
        <w:pStyle w:val="ListParagraph"/>
        <w:numPr>
          <w:ilvl w:val="0"/>
          <w:numId w:val="15"/>
        </w:numPr>
        <w:spacing w:after="0"/>
        <w:ind w:left="1276"/>
        <w:jc w:val="both"/>
        <w:rPr>
          <w:rStyle w:val="Bold"/>
          <w:b w:val="0"/>
          <w:lang w:val="en-GB"/>
        </w:rPr>
      </w:pPr>
      <w:r w:rsidRPr="00A92B00">
        <w:rPr>
          <w:rStyle w:val="Bold"/>
          <w:b w:val="0"/>
          <w:lang w:val="en-GB"/>
        </w:rPr>
        <w:t>Flexibility in the application of look-through in S.06.03;</w:t>
      </w:r>
    </w:p>
    <w:p w14:paraId="3B148781" w14:textId="77777777" w:rsidR="00654D46" w:rsidRPr="00A92B00" w:rsidRDefault="00654D46" w:rsidP="00E01A3B">
      <w:pPr>
        <w:pStyle w:val="ListParagraph"/>
        <w:numPr>
          <w:ilvl w:val="0"/>
          <w:numId w:val="15"/>
        </w:numPr>
        <w:spacing w:after="0"/>
        <w:ind w:left="1276"/>
        <w:jc w:val="both"/>
        <w:rPr>
          <w:rStyle w:val="Bold"/>
          <w:b w:val="0"/>
          <w:lang w:val="en-GB"/>
        </w:rPr>
      </w:pPr>
      <w:r w:rsidRPr="00A92B00">
        <w:rPr>
          <w:rStyle w:val="Bold"/>
          <w:b w:val="0"/>
          <w:lang w:val="en-GB"/>
        </w:rPr>
        <w:t xml:space="preserve">Alignment between templates S.12 and S.17 and within templates in relation to amounts of TP after use of </w:t>
      </w:r>
      <w:proofErr w:type="spellStart"/>
      <w:r w:rsidRPr="00A92B00">
        <w:rPr>
          <w:rStyle w:val="Bold"/>
          <w:b w:val="0"/>
          <w:lang w:val="en-GB"/>
        </w:rPr>
        <w:t>transitionals</w:t>
      </w:r>
      <w:proofErr w:type="spellEnd"/>
      <w:r w:rsidRPr="00A92B00">
        <w:rPr>
          <w:rStyle w:val="Bold"/>
          <w:b w:val="0"/>
          <w:lang w:val="en-GB"/>
        </w:rPr>
        <w:t xml:space="preserve"> and other measures; </w:t>
      </w:r>
    </w:p>
    <w:p w14:paraId="1D9F3090" w14:textId="77777777" w:rsidR="00654D46" w:rsidRPr="00A92B00" w:rsidRDefault="00654D46" w:rsidP="00E01A3B">
      <w:pPr>
        <w:pStyle w:val="ListParagraph"/>
        <w:numPr>
          <w:ilvl w:val="0"/>
          <w:numId w:val="15"/>
        </w:numPr>
        <w:spacing w:after="0"/>
        <w:ind w:left="1276"/>
        <w:jc w:val="both"/>
        <w:rPr>
          <w:rStyle w:val="Bold"/>
          <w:b w:val="0"/>
          <w:lang w:val="en-GB"/>
        </w:rPr>
      </w:pPr>
      <w:r w:rsidRPr="00A92B00">
        <w:rPr>
          <w:rStyle w:val="Bold"/>
          <w:b w:val="0"/>
          <w:lang w:val="en-GB"/>
        </w:rPr>
        <w:t>Consideration of accumulated amounts in S.21.01;</w:t>
      </w:r>
    </w:p>
    <w:p w14:paraId="7F16CFD6" w14:textId="4B6A37F0" w:rsidR="00654D46" w:rsidRPr="00654D46" w:rsidRDefault="00654D46" w:rsidP="00E01A3B">
      <w:pPr>
        <w:pStyle w:val="ListParagraph"/>
        <w:numPr>
          <w:ilvl w:val="0"/>
          <w:numId w:val="15"/>
        </w:numPr>
        <w:spacing w:after="0"/>
        <w:ind w:left="1276"/>
        <w:jc w:val="both"/>
        <w:rPr>
          <w:rStyle w:val="Bold"/>
          <w:b w:val="0"/>
          <w:lang w:val="en-GB"/>
        </w:rPr>
      </w:pPr>
      <w:proofErr w:type="gramStart"/>
      <w:r w:rsidRPr="00654D46">
        <w:rPr>
          <w:rStyle w:val="Bold"/>
          <w:b w:val="0"/>
          <w:lang w:val="en-GB"/>
        </w:rPr>
        <w:t xml:space="preserve">Nominated ECAI in several templates: standardisation of data, replace name by </w:t>
      </w:r>
      <w:r w:rsidR="00EB2625">
        <w:rPr>
          <w:rStyle w:val="Bold"/>
          <w:b w:val="0"/>
          <w:lang w:val="en-GB"/>
        </w:rPr>
        <w:t xml:space="preserve">a close list including </w:t>
      </w:r>
      <w:r w:rsidRPr="00654D46">
        <w:rPr>
          <w:rStyle w:val="Bold"/>
          <w:b w:val="0"/>
          <w:lang w:val="en-GB"/>
        </w:rPr>
        <w:t>LEI code</w:t>
      </w:r>
      <w:r w:rsidR="00EB2625">
        <w:rPr>
          <w:rStyle w:val="Bold"/>
          <w:b w:val="0"/>
          <w:lang w:val="en-GB"/>
        </w:rPr>
        <w:t xml:space="preserve"> and name</w:t>
      </w:r>
      <w:r w:rsidRPr="00654D46">
        <w:rPr>
          <w:rStyle w:val="Bold"/>
          <w:b w:val="0"/>
          <w:lang w:val="en-GB"/>
        </w:rPr>
        <w:t>.</w:t>
      </w:r>
      <w:proofErr w:type="gramEnd"/>
    </w:p>
    <w:p w14:paraId="2930488B" w14:textId="456FE5C7" w:rsidR="00654D46" w:rsidRDefault="00654D46" w:rsidP="00E01A3B">
      <w:pPr>
        <w:numPr>
          <w:ilvl w:val="1"/>
          <w:numId w:val="10"/>
        </w:numPr>
        <w:autoSpaceDE w:val="0"/>
        <w:autoSpaceDN w:val="0"/>
        <w:adjustRightInd w:val="0"/>
        <w:spacing w:line="276" w:lineRule="auto"/>
        <w:jc w:val="both"/>
        <w:rPr>
          <w:rFonts w:eastAsia="Times New Roman" w:cs="Verdana"/>
          <w:lang w:val="en-GB" w:eastAsia="de-DE"/>
        </w:rPr>
      </w:pPr>
      <w:r w:rsidRPr="005642C1">
        <w:rPr>
          <w:rFonts w:eastAsia="Times New Roman" w:cs="Verdana"/>
          <w:lang w:val="en-GB" w:eastAsia="de-DE"/>
        </w:rPr>
        <w:t xml:space="preserve">The options considered for each amendment are always to include or not to include the amendment. In section </w:t>
      </w:r>
      <w:proofErr w:type="gramStart"/>
      <w:r w:rsidRPr="005642C1">
        <w:rPr>
          <w:rFonts w:eastAsia="Times New Roman" w:cs="Verdana"/>
          <w:lang w:val="en-GB" w:eastAsia="de-DE"/>
        </w:rPr>
        <w:t>5</w:t>
      </w:r>
      <w:proofErr w:type="gramEnd"/>
      <w:r w:rsidRPr="005642C1">
        <w:rPr>
          <w:rFonts w:eastAsia="Times New Roman" w:cs="Verdana"/>
          <w:lang w:val="en-GB" w:eastAsia="de-DE"/>
        </w:rPr>
        <w:t xml:space="preserve"> the reasons for the amendment and impact of making or not making the amendments are evidenced. </w:t>
      </w:r>
    </w:p>
    <w:p w14:paraId="70CECDD8" w14:textId="77777777" w:rsidR="005642C1" w:rsidRPr="005642C1" w:rsidRDefault="005642C1" w:rsidP="005642C1">
      <w:pPr>
        <w:autoSpaceDE w:val="0"/>
        <w:autoSpaceDN w:val="0"/>
        <w:adjustRightInd w:val="0"/>
        <w:spacing w:line="276" w:lineRule="auto"/>
        <w:ind w:left="720"/>
        <w:jc w:val="both"/>
        <w:rPr>
          <w:rFonts w:eastAsia="Times New Roman" w:cs="Verdana"/>
          <w:lang w:val="en-GB" w:eastAsia="de-DE"/>
        </w:rPr>
      </w:pPr>
    </w:p>
    <w:p w14:paraId="25125C50" w14:textId="12C0DEE7" w:rsidR="007A75B6" w:rsidRPr="00263F07" w:rsidRDefault="00654D46" w:rsidP="00EE1105">
      <w:pPr>
        <w:pStyle w:val="Heading2"/>
        <w:rPr>
          <w:lang w:eastAsia="en-GB"/>
        </w:rPr>
      </w:pPr>
      <w:bookmarkStart w:id="10" w:name="_Toc403734692"/>
      <w:bookmarkStart w:id="11" w:name="_Toc403734718"/>
      <w:r>
        <w:rPr>
          <w:lang w:eastAsia="en-GB"/>
        </w:rPr>
        <w:t>S</w:t>
      </w:r>
      <w:r w:rsidR="007A75B6" w:rsidRPr="00263F07">
        <w:rPr>
          <w:lang w:eastAsia="en-GB"/>
        </w:rPr>
        <w:t>ection 5: Analysis of Impacts</w:t>
      </w:r>
      <w:bookmarkEnd w:id="10"/>
      <w:bookmarkEnd w:id="11"/>
    </w:p>
    <w:p w14:paraId="25125C51" w14:textId="0BF8003A" w:rsidR="007A75B6" w:rsidRPr="007A75B6" w:rsidRDefault="007A75B6" w:rsidP="00E01A3B">
      <w:pPr>
        <w:numPr>
          <w:ilvl w:val="1"/>
          <w:numId w:val="10"/>
        </w:numPr>
        <w:autoSpaceDE w:val="0"/>
        <w:autoSpaceDN w:val="0"/>
        <w:adjustRightInd w:val="0"/>
        <w:spacing w:line="276" w:lineRule="auto"/>
        <w:jc w:val="both"/>
        <w:rPr>
          <w:rFonts w:eastAsia="Times New Roman"/>
          <w:b/>
          <w:lang w:val="en-GB" w:eastAsia="en-GB"/>
        </w:rPr>
      </w:pPr>
      <w:r w:rsidRPr="007A75B6">
        <w:rPr>
          <w:rFonts w:eastAsia="Times New Roman" w:cs="Verdana"/>
          <w:lang w:val="en-GB" w:eastAsia="de-DE"/>
        </w:rPr>
        <w:t xml:space="preserve">In this </w:t>
      </w:r>
      <w:proofErr w:type="gramStart"/>
      <w:r w:rsidRPr="007A75B6">
        <w:rPr>
          <w:rFonts w:eastAsia="Times New Roman" w:cs="Verdana"/>
          <w:lang w:val="en-GB" w:eastAsia="de-DE"/>
        </w:rPr>
        <w:t>section</w:t>
      </w:r>
      <w:proofErr w:type="gramEnd"/>
      <w:r w:rsidRPr="007A75B6">
        <w:rPr>
          <w:rFonts w:eastAsia="Times New Roman" w:cs="Verdana"/>
          <w:lang w:val="en-GB" w:eastAsia="de-DE"/>
        </w:rPr>
        <w:t xml:space="preserve"> EIOPA would like to describe the policy alternatives which were considered</w:t>
      </w:r>
      <w:r w:rsidR="00EE1105">
        <w:rPr>
          <w:rFonts w:eastAsia="Times New Roman" w:cs="Verdana"/>
          <w:lang w:val="en-GB" w:eastAsia="de-DE"/>
        </w:rPr>
        <w:t>.</w:t>
      </w:r>
      <w:r w:rsidRPr="007A75B6">
        <w:rPr>
          <w:rFonts w:eastAsia="Times New Roman" w:cs="Verdana"/>
          <w:lang w:val="en-GB" w:eastAsia="de-DE"/>
        </w:rPr>
        <w:t xml:space="preserve"> </w:t>
      </w:r>
      <w:r w:rsidR="00EE1105">
        <w:rPr>
          <w:rFonts w:eastAsia="Times New Roman" w:cs="Verdana"/>
          <w:lang w:val="en-GB" w:eastAsia="de-DE"/>
        </w:rPr>
        <w:t>T</w:t>
      </w:r>
      <w:r w:rsidR="00EE1105">
        <w:rPr>
          <w:lang w:val="en-GB"/>
        </w:rPr>
        <w:t xml:space="preserve">he reasons for the amendment and impact of making or not making the amendments </w:t>
      </w:r>
      <w:proofErr w:type="gramStart"/>
      <w:r w:rsidR="00EE1105">
        <w:rPr>
          <w:lang w:val="en-GB"/>
        </w:rPr>
        <w:t>are evidenced</w:t>
      </w:r>
      <w:proofErr w:type="gramEnd"/>
      <w:r w:rsidR="00EE1105">
        <w:rPr>
          <w:rFonts w:eastAsia="Times New Roman" w:cs="Verdana"/>
          <w:lang w:val="en-GB" w:eastAsia="de-DE"/>
        </w:rPr>
        <w:t xml:space="preserve">. </w:t>
      </w:r>
    </w:p>
    <w:p w14:paraId="77C6B2E1" w14:textId="175E0B2A" w:rsidR="00030523" w:rsidRDefault="00030523" w:rsidP="00030523">
      <w:pPr>
        <w:numPr>
          <w:ilvl w:val="1"/>
          <w:numId w:val="10"/>
        </w:numPr>
        <w:autoSpaceDE w:val="0"/>
        <w:autoSpaceDN w:val="0"/>
        <w:adjustRightInd w:val="0"/>
        <w:spacing w:line="276" w:lineRule="auto"/>
        <w:jc w:val="both"/>
        <w:rPr>
          <w:rFonts w:eastAsia="Times New Roman" w:cs="Verdana"/>
          <w:lang w:val="en-GB" w:eastAsia="de-DE"/>
        </w:rPr>
      </w:pPr>
      <w:r>
        <w:rPr>
          <w:rFonts w:eastAsia="Times New Roman" w:cs="Verdana"/>
          <w:lang w:val="en-GB" w:eastAsia="de-DE"/>
        </w:rPr>
        <w:t xml:space="preserve">The different analysed options could have an impact on </w:t>
      </w:r>
      <w:r w:rsidRPr="00030523">
        <w:rPr>
          <w:rFonts w:eastAsia="Times New Roman" w:cs="Verdana"/>
          <w:lang w:val="en-GB" w:eastAsia="de-DE"/>
        </w:rPr>
        <w:t xml:space="preserve">insurance </w:t>
      </w:r>
      <w:r>
        <w:rPr>
          <w:rFonts w:eastAsia="Times New Roman" w:cs="Verdana"/>
          <w:lang w:val="en-GB" w:eastAsia="de-DE"/>
        </w:rPr>
        <w:t xml:space="preserve">and reinsurance </w:t>
      </w:r>
      <w:r w:rsidRPr="00030523">
        <w:rPr>
          <w:rFonts w:eastAsia="Times New Roman" w:cs="Verdana"/>
          <w:lang w:val="en-GB" w:eastAsia="de-DE"/>
        </w:rPr>
        <w:t>undertakings</w:t>
      </w:r>
      <w:r>
        <w:rPr>
          <w:rFonts w:eastAsia="Times New Roman" w:cs="Verdana"/>
          <w:lang w:val="en-GB" w:eastAsia="de-DE"/>
        </w:rPr>
        <w:t xml:space="preserve">, which are subject to reporting requirements, and </w:t>
      </w:r>
      <w:r w:rsidR="00237E49">
        <w:rPr>
          <w:rFonts w:eastAsia="Times New Roman" w:cs="Verdana"/>
          <w:lang w:val="en-GB" w:eastAsia="de-DE"/>
        </w:rPr>
        <w:t xml:space="preserve">on </w:t>
      </w:r>
      <w:r>
        <w:rPr>
          <w:rFonts w:eastAsia="Times New Roman" w:cs="Verdana"/>
          <w:lang w:val="en-GB" w:eastAsia="de-DE"/>
        </w:rPr>
        <w:t>the national</w:t>
      </w:r>
      <w:r w:rsidR="00470D13">
        <w:rPr>
          <w:rFonts w:eastAsia="Times New Roman" w:cs="Verdana"/>
          <w:lang w:val="en-GB" w:eastAsia="de-DE"/>
        </w:rPr>
        <w:t xml:space="preserve"> </w:t>
      </w:r>
      <w:r w:rsidR="00EB2625">
        <w:rPr>
          <w:rFonts w:eastAsia="Times New Roman" w:cs="Verdana"/>
          <w:lang w:val="en-GB" w:eastAsia="de-DE"/>
        </w:rPr>
        <w:t xml:space="preserve">competent </w:t>
      </w:r>
      <w:r>
        <w:rPr>
          <w:rFonts w:eastAsia="Times New Roman" w:cs="Verdana"/>
          <w:lang w:val="en-GB" w:eastAsia="de-DE"/>
        </w:rPr>
        <w:t xml:space="preserve">authorities, responsible for the collection, processing and analysis of the reported data, and EIOPA.  None of the options </w:t>
      </w:r>
      <w:proofErr w:type="gramStart"/>
      <w:r>
        <w:rPr>
          <w:rFonts w:eastAsia="Times New Roman" w:cs="Verdana"/>
          <w:lang w:val="en-GB" w:eastAsia="de-DE"/>
        </w:rPr>
        <w:t>is considered</w:t>
      </w:r>
      <w:proofErr w:type="gramEnd"/>
      <w:r>
        <w:rPr>
          <w:rFonts w:eastAsia="Times New Roman" w:cs="Verdana"/>
          <w:lang w:val="en-GB" w:eastAsia="de-DE"/>
        </w:rPr>
        <w:t xml:space="preserve"> to have a material impact on policyholders. </w:t>
      </w:r>
    </w:p>
    <w:p w14:paraId="25125C52" w14:textId="0947B835" w:rsidR="007A75B6" w:rsidRPr="007A75B6" w:rsidRDefault="007A75B6" w:rsidP="00EA2DE6">
      <w:pPr>
        <w:numPr>
          <w:ilvl w:val="1"/>
          <w:numId w:val="10"/>
        </w:numPr>
        <w:autoSpaceDE w:val="0"/>
        <w:autoSpaceDN w:val="0"/>
        <w:adjustRightInd w:val="0"/>
        <w:spacing w:line="276" w:lineRule="auto"/>
        <w:jc w:val="both"/>
        <w:rPr>
          <w:rFonts w:eastAsia="Times New Roman" w:cs="Verdana"/>
          <w:lang w:val="en-GB" w:eastAsia="de-DE"/>
        </w:rPr>
      </w:pPr>
      <w:r w:rsidRPr="007A75B6">
        <w:rPr>
          <w:rFonts w:eastAsia="Times New Roman" w:cs="Verdana"/>
          <w:lang w:val="en-GB" w:eastAsia="de-DE"/>
        </w:rPr>
        <w:t>The</w:t>
      </w:r>
      <w:r w:rsidR="00EA2DE6">
        <w:rPr>
          <w:rFonts w:eastAsia="Times New Roman" w:cs="Verdana"/>
          <w:lang w:val="en-GB" w:eastAsia="de-DE"/>
        </w:rPr>
        <w:t xml:space="preserve"> </w:t>
      </w:r>
      <w:proofErr w:type="gramStart"/>
      <w:r w:rsidR="00EA2DE6">
        <w:rPr>
          <w:rFonts w:eastAsia="Times New Roman" w:cs="Verdana"/>
          <w:lang w:val="en-GB" w:eastAsia="de-DE"/>
        </w:rPr>
        <w:t xml:space="preserve">final </w:t>
      </w:r>
      <w:r w:rsidRPr="007A75B6">
        <w:rPr>
          <w:rFonts w:eastAsia="Times New Roman" w:cs="Verdana"/>
          <w:lang w:val="en-GB" w:eastAsia="de-DE"/>
        </w:rPr>
        <w:t>conclusions</w:t>
      </w:r>
      <w:proofErr w:type="gramEnd"/>
      <w:r w:rsidRPr="007A75B6">
        <w:rPr>
          <w:rFonts w:eastAsia="Times New Roman" w:cs="Verdana"/>
          <w:lang w:val="en-GB" w:eastAsia="de-DE"/>
        </w:rPr>
        <w:t xml:space="preserve"> from the analysis of impacts and the preferred policy options </w:t>
      </w:r>
      <w:r w:rsidR="00562EA2">
        <w:rPr>
          <w:rFonts w:eastAsia="Times New Roman" w:cs="Verdana"/>
          <w:lang w:val="en-GB" w:eastAsia="de-DE"/>
        </w:rPr>
        <w:t>are</w:t>
      </w:r>
      <w:r w:rsidR="00EE1105">
        <w:rPr>
          <w:rFonts w:eastAsia="Times New Roman" w:cs="Verdana"/>
          <w:lang w:val="en-GB" w:eastAsia="de-DE"/>
        </w:rPr>
        <w:t xml:space="preserve"> included in Section 6 - </w:t>
      </w:r>
      <w:r w:rsidRPr="007A75B6">
        <w:rPr>
          <w:rFonts w:eastAsia="Times New Roman" w:cs="Verdana"/>
          <w:lang w:val="en-GB" w:eastAsia="de-DE"/>
        </w:rPr>
        <w:t xml:space="preserve">Comparison of Options. </w:t>
      </w:r>
    </w:p>
    <w:p w14:paraId="6364BCAF" w14:textId="77777777" w:rsidR="00EE1105" w:rsidRPr="005642C1" w:rsidRDefault="00EE1105" w:rsidP="00EE1105">
      <w:pPr>
        <w:rPr>
          <w:u w:val="single"/>
          <w:lang w:val="en-GB"/>
        </w:rPr>
      </w:pPr>
    </w:p>
    <w:p w14:paraId="6948CC8E" w14:textId="419B5C92" w:rsidR="00EE1105" w:rsidRDefault="00EE1105" w:rsidP="00E01A3B">
      <w:pPr>
        <w:pStyle w:val="ListParagraph"/>
        <w:numPr>
          <w:ilvl w:val="0"/>
          <w:numId w:val="16"/>
        </w:numPr>
        <w:spacing w:after="0"/>
        <w:ind w:left="709" w:hanging="709"/>
        <w:jc w:val="both"/>
        <w:rPr>
          <w:b/>
          <w:lang w:val="en-GB"/>
        </w:rPr>
      </w:pPr>
      <w:r w:rsidRPr="00EE1105">
        <w:rPr>
          <w:b/>
          <w:lang w:val="en-GB"/>
        </w:rPr>
        <w:t>Introduction of new types of undertakings in the cl</w:t>
      </w:r>
      <w:r w:rsidR="007362D4">
        <w:rPr>
          <w:b/>
          <w:lang w:val="en-GB"/>
        </w:rPr>
        <w:t>ose list of S.01.02.C0010/R0040</w:t>
      </w:r>
    </w:p>
    <w:p w14:paraId="0CB02220" w14:textId="77777777" w:rsidR="00E4050B" w:rsidRPr="00E4050B" w:rsidRDefault="00E4050B" w:rsidP="00E01A3B">
      <w:pPr>
        <w:numPr>
          <w:ilvl w:val="1"/>
          <w:numId w:val="10"/>
        </w:numPr>
        <w:autoSpaceDE w:val="0"/>
        <w:autoSpaceDN w:val="0"/>
        <w:adjustRightInd w:val="0"/>
        <w:spacing w:line="276" w:lineRule="auto"/>
        <w:jc w:val="both"/>
        <w:rPr>
          <w:rFonts w:eastAsia="Times New Roman" w:cs="Verdana"/>
          <w:lang w:val="en-GB" w:eastAsia="de-DE"/>
        </w:rPr>
      </w:pPr>
      <w:r>
        <w:rPr>
          <w:lang w:val="en-GB"/>
        </w:rPr>
        <w:t xml:space="preserve">Mistake identified when </w:t>
      </w:r>
      <w:r w:rsidRPr="00E4050B">
        <w:rPr>
          <w:lang w:val="en-GB"/>
        </w:rPr>
        <w:t>answering Q&amp;A1033.</w:t>
      </w:r>
      <w:r>
        <w:rPr>
          <w:lang w:val="en-GB"/>
        </w:rPr>
        <w:t xml:space="preserve"> In </w:t>
      </w:r>
      <w:proofErr w:type="gramStart"/>
      <w:r>
        <w:rPr>
          <w:lang w:val="en-GB"/>
        </w:rPr>
        <w:t>fact</w:t>
      </w:r>
      <w:proofErr w:type="gramEnd"/>
      <w:r>
        <w:rPr>
          <w:lang w:val="en-GB"/>
        </w:rPr>
        <w:t xml:space="preserve"> the close list misses the identification of reinsurance undertakings. </w:t>
      </w:r>
    </w:p>
    <w:p w14:paraId="3BE318C2" w14:textId="0DDF10EB" w:rsidR="00E4050B" w:rsidRPr="00E4050B" w:rsidRDefault="00E4050B" w:rsidP="00E01A3B">
      <w:pPr>
        <w:numPr>
          <w:ilvl w:val="1"/>
          <w:numId w:val="10"/>
        </w:numPr>
        <w:autoSpaceDE w:val="0"/>
        <w:autoSpaceDN w:val="0"/>
        <w:adjustRightInd w:val="0"/>
        <w:spacing w:line="276" w:lineRule="auto"/>
        <w:jc w:val="both"/>
        <w:rPr>
          <w:rFonts w:eastAsia="Times New Roman" w:cs="Verdana"/>
          <w:lang w:val="en-GB" w:eastAsia="de-DE"/>
        </w:rPr>
      </w:pPr>
      <w:r>
        <w:rPr>
          <w:lang w:val="en-GB"/>
        </w:rPr>
        <w:t>The identification of th</w:t>
      </w:r>
      <w:r w:rsidR="00641EE8">
        <w:rPr>
          <w:lang w:val="en-GB"/>
        </w:rPr>
        <w:t>e</w:t>
      </w:r>
      <w:r>
        <w:rPr>
          <w:lang w:val="en-GB"/>
        </w:rPr>
        <w:t>s</w:t>
      </w:r>
      <w:r w:rsidR="00641EE8">
        <w:rPr>
          <w:lang w:val="en-GB"/>
        </w:rPr>
        <w:t>e</w:t>
      </w:r>
      <w:r>
        <w:rPr>
          <w:lang w:val="en-GB"/>
        </w:rPr>
        <w:t xml:space="preserve"> entities separately would be consistent with the Solvency II Directive where several mandatory disclosures to </w:t>
      </w:r>
      <w:proofErr w:type="gramStart"/>
      <w:r>
        <w:rPr>
          <w:lang w:val="en-GB"/>
        </w:rPr>
        <w:t>be done</w:t>
      </w:r>
      <w:proofErr w:type="gramEnd"/>
      <w:r>
        <w:rPr>
          <w:lang w:val="en-GB"/>
        </w:rPr>
        <w:t xml:space="preserve"> by type of undertaking require the disclosure for “reinsurance undertakings” separately (e.g. article 52). </w:t>
      </w:r>
    </w:p>
    <w:p w14:paraId="5FBF1FDA" w14:textId="793188F9" w:rsidR="00E4050B" w:rsidRDefault="00E4050B" w:rsidP="00E01A3B">
      <w:pPr>
        <w:numPr>
          <w:ilvl w:val="1"/>
          <w:numId w:val="10"/>
        </w:numPr>
        <w:autoSpaceDE w:val="0"/>
        <w:autoSpaceDN w:val="0"/>
        <w:adjustRightInd w:val="0"/>
        <w:spacing w:line="276" w:lineRule="auto"/>
        <w:jc w:val="both"/>
        <w:rPr>
          <w:rFonts w:eastAsia="Times New Roman" w:cs="Verdana"/>
          <w:lang w:val="en-GB" w:eastAsia="de-DE"/>
        </w:rPr>
      </w:pPr>
      <w:r>
        <w:rPr>
          <w:rFonts w:eastAsia="Times New Roman" w:cs="Verdana"/>
          <w:lang w:val="en-GB" w:eastAsia="de-DE"/>
        </w:rPr>
        <w:t xml:space="preserve">Also the differentiation of the undertakings pursuing both life and non-life business in accordance to article 73(3) or 73(5) is of importance. Lack of consistency </w:t>
      </w:r>
      <w:proofErr w:type="gramStart"/>
      <w:r>
        <w:rPr>
          <w:rFonts w:eastAsia="Times New Roman" w:cs="Verdana"/>
          <w:lang w:val="en-GB" w:eastAsia="de-DE"/>
        </w:rPr>
        <w:t>was identified</w:t>
      </w:r>
      <w:proofErr w:type="gramEnd"/>
      <w:r>
        <w:rPr>
          <w:rFonts w:eastAsia="Times New Roman" w:cs="Verdana"/>
          <w:lang w:val="en-GB" w:eastAsia="de-DE"/>
        </w:rPr>
        <w:t xml:space="preserve"> in the reporting, which affects the use of information, in particular when peer groups have to be defined. </w:t>
      </w:r>
    </w:p>
    <w:p w14:paraId="33A3BB1E" w14:textId="006EDA85" w:rsidR="00E4050B" w:rsidRPr="006250F8" w:rsidRDefault="006250F8" w:rsidP="00E01A3B">
      <w:pPr>
        <w:numPr>
          <w:ilvl w:val="1"/>
          <w:numId w:val="10"/>
        </w:numPr>
        <w:autoSpaceDE w:val="0"/>
        <w:autoSpaceDN w:val="0"/>
        <w:adjustRightInd w:val="0"/>
        <w:spacing w:line="276" w:lineRule="auto"/>
        <w:jc w:val="both"/>
        <w:rPr>
          <w:rFonts w:eastAsia="Times New Roman" w:cs="Verdana"/>
          <w:lang w:val="en-GB" w:eastAsia="de-DE"/>
        </w:rPr>
      </w:pPr>
      <w:r>
        <w:rPr>
          <w:lang w:val="en-GB"/>
        </w:rPr>
        <w:t>Impact of amendment: i</w:t>
      </w:r>
      <w:r w:rsidR="00E4050B">
        <w:rPr>
          <w:lang w:val="en-GB"/>
        </w:rPr>
        <w:t xml:space="preserve">s not considered as having a </w:t>
      </w:r>
      <w:r w:rsidR="00440960">
        <w:rPr>
          <w:lang w:val="en-GB"/>
        </w:rPr>
        <w:t>material</w:t>
      </w:r>
      <w:r w:rsidR="00E4050B">
        <w:rPr>
          <w:lang w:val="en-GB"/>
        </w:rPr>
        <w:t xml:space="preserve"> impact as it will only address </w:t>
      </w:r>
      <w:r w:rsidR="00E4050B">
        <w:rPr>
          <w:rFonts w:eastAsia="Times New Roman" w:cs="Verdana"/>
          <w:lang w:val="en-GB" w:eastAsia="de-DE"/>
        </w:rPr>
        <w:t>undertakings pursuing both life and non-life business</w:t>
      </w:r>
      <w:r w:rsidR="00E4050B">
        <w:rPr>
          <w:lang w:val="en-GB"/>
        </w:rPr>
        <w:t xml:space="preserve"> and reinsurance undertakings and the only impact </w:t>
      </w:r>
      <w:r>
        <w:rPr>
          <w:lang w:val="en-GB"/>
        </w:rPr>
        <w:t xml:space="preserve">for undertakings </w:t>
      </w:r>
      <w:proofErr w:type="gramStart"/>
      <w:r w:rsidR="00E4050B">
        <w:rPr>
          <w:lang w:val="en-GB"/>
        </w:rPr>
        <w:t>is having</w:t>
      </w:r>
      <w:proofErr w:type="gramEnd"/>
      <w:r w:rsidR="00E4050B">
        <w:rPr>
          <w:lang w:val="en-GB"/>
        </w:rPr>
        <w:t xml:space="preserve"> to choose a different option from the close list. </w:t>
      </w:r>
    </w:p>
    <w:p w14:paraId="02FC3CA1" w14:textId="0C936CC2" w:rsidR="006250F8" w:rsidRPr="00E4050B" w:rsidRDefault="006250F8" w:rsidP="00E01A3B">
      <w:pPr>
        <w:numPr>
          <w:ilvl w:val="1"/>
          <w:numId w:val="10"/>
        </w:numPr>
        <w:autoSpaceDE w:val="0"/>
        <w:autoSpaceDN w:val="0"/>
        <w:adjustRightInd w:val="0"/>
        <w:spacing w:line="276" w:lineRule="auto"/>
        <w:jc w:val="both"/>
        <w:rPr>
          <w:rFonts w:eastAsia="Times New Roman" w:cs="Verdana"/>
          <w:lang w:val="en-GB" w:eastAsia="de-DE"/>
        </w:rPr>
      </w:pPr>
      <w:proofErr w:type="gramStart"/>
      <w:r>
        <w:rPr>
          <w:lang w:val="en-GB"/>
        </w:rPr>
        <w:t>Impact of not amending: lack of identification of reinsurance undertakings imply manual treatment of information and consideration of authorisation information by NCA and EIOPA to accurately address disclosure requirements.</w:t>
      </w:r>
      <w:proofErr w:type="gramEnd"/>
      <w:r>
        <w:rPr>
          <w:lang w:val="en-GB"/>
        </w:rPr>
        <w:t xml:space="preserve"> Additional data quality checks to assess the split between composites and other types of undertakings could be required with impact in the quality of the use of some information. </w:t>
      </w:r>
    </w:p>
    <w:p w14:paraId="400EC3D8" w14:textId="77777777" w:rsidR="007362D4" w:rsidRPr="007362D4" w:rsidRDefault="007362D4" w:rsidP="007362D4">
      <w:pPr>
        <w:spacing w:after="0"/>
        <w:jc w:val="both"/>
        <w:rPr>
          <w:b/>
          <w:lang w:val="en-GB"/>
        </w:rPr>
      </w:pPr>
    </w:p>
    <w:p w14:paraId="28DC45F8" w14:textId="57770B67" w:rsidR="00EE1105" w:rsidRDefault="00EE1105" w:rsidP="00E01A3B">
      <w:pPr>
        <w:pStyle w:val="ListParagraph"/>
        <w:numPr>
          <w:ilvl w:val="0"/>
          <w:numId w:val="16"/>
        </w:numPr>
        <w:spacing w:after="0"/>
        <w:ind w:left="709" w:hanging="709"/>
        <w:jc w:val="both"/>
        <w:rPr>
          <w:b/>
          <w:lang w:val="en-GB"/>
        </w:rPr>
      </w:pPr>
      <w:r w:rsidRPr="00EE1105">
        <w:rPr>
          <w:b/>
          <w:lang w:val="en-GB"/>
        </w:rPr>
        <w:t>Introduction of new item in S.01.02 indicating if undertaki</w:t>
      </w:r>
      <w:r w:rsidR="00440960">
        <w:rPr>
          <w:b/>
          <w:lang w:val="en-GB"/>
        </w:rPr>
        <w:t>ng has a non-financial year end</w:t>
      </w:r>
    </w:p>
    <w:p w14:paraId="2DE73E45" w14:textId="1440737C" w:rsidR="00440960" w:rsidRDefault="00440960" w:rsidP="00E01A3B">
      <w:pPr>
        <w:numPr>
          <w:ilvl w:val="1"/>
          <w:numId w:val="10"/>
        </w:numPr>
        <w:autoSpaceDE w:val="0"/>
        <w:autoSpaceDN w:val="0"/>
        <w:adjustRightInd w:val="0"/>
        <w:spacing w:line="276" w:lineRule="auto"/>
        <w:jc w:val="both"/>
        <w:rPr>
          <w:lang w:val="en-GB"/>
        </w:rPr>
      </w:pPr>
      <w:r>
        <w:rPr>
          <w:lang w:val="en-GB"/>
        </w:rPr>
        <w:t>New item “</w:t>
      </w:r>
      <w:r w:rsidRPr="00440960">
        <w:rPr>
          <w:lang w:val="en-GB"/>
        </w:rPr>
        <w:t xml:space="preserve">Financial year end” is requested to </w:t>
      </w:r>
      <w:r>
        <w:rPr>
          <w:lang w:val="en-GB"/>
        </w:rPr>
        <w:t>i</w:t>
      </w:r>
      <w:r w:rsidRPr="00440960">
        <w:rPr>
          <w:lang w:val="en-GB"/>
        </w:rPr>
        <w:t>dentify the ISO 8601 (</w:t>
      </w:r>
      <w:proofErr w:type="spellStart"/>
      <w:r w:rsidRPr="00440960">
        <w:rPr>
          <w:lang w:val="en-GB"/>
        </w:rPr>
        <w:t>yyyy</w:t>
      </w:r>
      <w:proofErr w:type="spellEnd"/>
      <w:r w:rsidRPr="00440960">
        <w:rPr>
          <w:lang w:val="en-GB"/>
        </w:rPr>
        <w:t>–mm–</w:t>
      </w:r>
      <w:proofErr w:type="spellStart"/>
      <w:r w:rsidRPr="00440960">
        <w:rPr>
          <w:lang w:val="en-GB"/>
        </w:rPr>
        <w:t>dd</w:t>
      </w:r>
      <w:proofErr w:type="spellEnd"/>
      <w:r w:rsidRPr="00440960">
        <w:rPr>
          <w:lang w:val="en-GB"/>
        </w:rPr>
        <w:t xml:space="preserve">) code of the financial </w:t>
      </w:r>
      <w:proofErr w:type="gramStart"/>
      <w:r w:rsidRPr="00440960">
        <w:rPr>
          <w:lang w:val="en-GB"/>
        </w:rPr>
        <w:t>year end</w:t>
      </w:r>
      <w:proofErr w:type="gramEnd"/>
      <w:r w:rsidRPr="00440960">
        <w:rPr>
          <w:lang w:val="en-GB"/>
        </w:rPr>
        <w:t xml:space="preserve"> of the undertaking, e.g. 2017-12-31</w:t>
      </w:r>
      <w:r>
        <w:rPr>
          <w:lang w:val="en-GB"/>
        </w:rPr>
        <w:t>.</w:t>
      </w:r>
    </w:p>
    <w:p w14:paraId="74AB2231" w14:textId="63617C37" w:rsidR="00440960" w:rsidRDefault="00440960" w:rsidP="00E01A3B">
      <w:pPr>
        <w:numPr>
          <w:ilvl w:val="1"/>
          <w:numId w:val="10"/>
        </w:numPr>
        <w:autoSpaceDE w:val="0"/>
        <w:autoSpaceDN w:val="0"/>
        <w:adjustRightInd w:val="0"/>
        <w:spacing w:line="276" w:lineRule="auto"/>
        <w:jc w:val="both"/>
        <w:rPr>
          <w:lang w:val="en-GB"/>
        </w:rPr>
      </w:pPr>
      <w:r>
        <w:rPr>
          <w:lang w:val="en-GB"/>
        </w:rPr>
        <w:t xml:space="preserve">The existence of financial year-end different from 31/12 in some Member States creates some hurdles in the reporting processes and in checking the correctness of each reporting submission. This is particularly important regarding the quarterly reporting and the fact that some templates </w:t>
      </w:r>
      <w:proofErr w:type="gramStart"/>
      <w:r>
        <w:rPr>
          <w:lang w:val="en-GB"/>
        </w:rPr>
        <w:t>are reported</w:t>
      </w:r>
      <w:proofErr w:type="gramEnd"/>
      <w:r>
        <w:rPr>
          <w:lang w:val="en-GB"/>
        </w:rPr>
        <w:t xml:space="preserve"> in a year-to-date basis. In this </w:t>
      </w:r>
      <w:proofErr w:type="gramStart"/>
      <w:r>
        <w:rPr>
          <w:lang w:val="en-GB"/>
        </w:rPr>
        <w:t>case</w:t>
      </w:r>
      <w:proofErr w:type="gramEnd"/>
      <w:r>
        <w:rPr>
          <w:lang w:val="en-GB"/>
        </w:rPr>
        <w:t xml:space="preserve"> the identification of the specific quarter is important. </w:t>
      </w:r>
    </w:p>
    <w:p w14:paraId="00C2E0CE" w14:textId="01CF77A6" w:rsidR="00A333D4" w:rsidRDefault="00440960" w:rsidP="00E01A3B">
      <w:pPr>
        <w:numPr>
          <w:ilvl w:val="1"/>
          <w:numId w:val="10"/>
        </w:numPr>
        <w:autoSpaceDE w:val="0"/>
        <w:autoSpaceDN w:val="0"/>
        <w:adjustRightInd w:val="0"/>
        <w:spacing w:line="276" w:lineRule="auto"/>
        <w:jc w:val="both"/>
        <w:rPr>
          <w:lang w:val="en-GB"/>
        </w:rPr>
      </w:pPr>
      <w:r>
        <w:rPr>
          <w:lang w:val="en-GB"/>
        </w:rPr>
        <w:t xml:space="preserve">Impact of amendment: </w:t>
      </w:r>
      <w:proofErr w:type="gramStart"/>
      <w:r>
        <w:rPr>
          <w:lang w:val="en-GB"/>
        </w:rPr>
        <w:t>is not considered</w:t>
      </w:r>
      <w:proofErr w:type="gramEnd"/>
      <w:r>
        <w:rPr>
          <w:lang w:val="en-GB"/>
        </w:rPr>
        <w:t xml:space="preserve"> as having a material </w:t>
      </w:r>
      <w:r w:rsidR="00EB2625">
        <w:rPr>
          <w:lang w:val="en-GB"/>
        </w:rPr>
        <w:t xml:space="preserve">impact </w:t>
      </w:r>
      <w:r>
        <w:rPr>
          <w:lang w:val="en-GB"/>
        </w:rPr>
        <w:t xml:space="preserve">even if introduces an additional item. </w:t>
      </w:r>
      <w:proofErr w:type="gramStart"/>
      <w:r>
        <w:rPr>
          <w:lang w:val="en-GB"/>
        </w:rPr>
        <w:t>It is an item that</w:t>
      </w:r>
      <w:proofErr w:type="gramEnd"/>
      <w:r>
        <w:rPr>
          <w:lang w:val="en-GB"/>
        </w:rPr>
        <w:t xml:space="preserve"> is not addressing “business data” and should be relatively easy to implement. </w:t>
      </w:r>
      <w:r w:rsidR="00A333D4">
        <w:rPr>
          <w:lang w:val="en-GB"/>
        </w:rPr>
        <w:t xml:space="preserve">It allows </w:t>
      </w:r>
      <w:r w:rsidR="00D5156D">
        <w:rPr>
          <w:lang w:val="en-GB"/>
        </w:rPr>
        <w:t xml:space="preserve">the inclusion of a XBRL validation to check </w:t>
      </w:r>
      <w:r w:rsidR="00A333D4">
        <w:rPr>
          <w:lang w:val="en-GB"/>
        </w:rPr>
        <w:t xml:space="preserve">the correct </w:t>
      </w:r>
      <w:r w:rsidR="00D5156D">
        <w:rPr>
          <w:lang w:val="en-GB"/>
        </w:rPr>
        <w:t xml:space="preserve">use of the </w:t>
      </w:r>
      <w:r w:rsidR="00A333D4">
        <w:rPr>
          <w:lang w:val="en-GB"/>
        </w:rPr>
        <w:t xml:space="preserve">reference date embedded in the </w:t>
      </w:r>
      <w:r w:rsidR="00D5156D">
        <w:rPr>
          <w:lang w:val="en-GB"/>
        </w:rPr>
        <w:t>XBRL reports</w:t>
      </w:r>
      <w:r w:rsidR="00A333D4">
        <w:rPr>
          <w:lang w:val="en-GB"/>
        </w:rPr>
        <w:t xml:space="preserve">. </w:t>
      </w:r>
    </w:p>
    <w:p w14:paraId="61955A68" w14:textId="0BA44E38" w:rsidR="00440960" w:rsidRDefault="00A333D4" w:rsidP="00E01A3B">
      <w:pPr>
        <w:numPr>
          <w:ilvl w:val="1"/>
          <w:numId w:val="10"/>
        </w:numPr>
        <w:autoSpaceDE w:val="0"/>
        <w:autoSpaceDN w:val="0"/>
        <w:adjustRightInd w:val="0"/>
        <w:spacing w:line="276" w:lineRule="auto"/>
        <w:jc w:val="both"/>
        <w:rPr>
          <w:lang w:val="en-GB"/>
        </w:rPr>
      </w:pPr>
      <w:r>
        <w:rPr>
          <w:lang w:val="en-GB"/>
        </w:rPr>
        <w:t xml:space="preserve">Impact of not amending: </w:t>
      </w:r>
      <w:proofErr w:type="gramStart"/>
      <w:r>
        <w:rPr>
          <w:lang w:val="en-GB"/>
        </w:rPr>
        <w:t>if this item is not introduced</w:t>
      </w:r>
      <w:proofErr w:type="gramEnd"/>
      <w:r>
        <w:rPr>
          <w:lang w:val="en-GB"/>
        </w:rPr>
        <w:t xml:space="preserve"> any </w:t>
      </w:r>
      <w:r w:rsidR="00440960" w:rsidRPr="00440960">
        <w:rPr>
          <w:lang w:val="en-GB"/>
        </w:rPr>
        <w:t>reference date could be possible for any entry point</w:t>
      </w:r>
      <w:r>
        <w:rPr>
          <w:lang w:val="en-GB"/>
        </w:rPr>
        <w:t xml:space="preserve"> and </w:t>
      </w:r>
      <w:r w:rsidR="00CA326A">
        <w:rPr>
          <w:lang w:val="en-GB"/>
        </w:rPr>
        <w:t xml:space="preserve">thus it </w:t>
      </w:r>
      <w:r>
        <w:rPr>
          <w:lang w:val="en-GB"/>
        </w:rPr>
        <w:t xml:space="preserve">will </w:t>
      </w:r>
      <w:r w:rsidR="00D5156D">
        <w:rPr>
          <w:lang w:val="en-GB"/>
        </w:rPr>
        <w:t xml:space="preserve">not be possible </w:t>
      </w:r>
      <w:r>
        <w:rPr>
          <w:lang w:val="en-GB"/>
        </w:rPr>
        <w:t xml:space="preserve">to do quality checks </w:t>
      </w:r>
      <w:r w:rsidR="00D5156D">
        <w:rPr>
          <w:lang w:val="en-GB"/>
        </w:rPr>
        <w:t xml:space="preserve">based </w:t>
      </w:r>
      <w:r w:rsidR="00F70ECD">
        <w:rPr>
          <w:lang w:val="en-GB"/>
        </w:rPr>
        <w:t>o</w:t>
      </w:r>
      <w:r w:rsidR="00D5156D">
        <w:rPr>
          <w:lang w:val="en-GB"/>
        </w:rPr>
        <w:t>n the specific quarter that is been reported. Additionally</w:t>
      </w:r>
      <w:r w:rsidR="00DE172B">
        <w:rPr>
          <w:lang w:val="en-GB"/>
        </w:rPr>
        <w:t xml:space="preserve"> it</w:t>
      </w:r>
      <w:r w:rsidR="00D5156D">
        <w:rPr>
          <w:lang w:val="en-GB"/>
        </w:rPr>
        <w:t xml:space="preserve"> </w:t>
      </w:r>
      <w:r w:rsidR="00DE172B">
        <w:rPr>
          <w:lang w:val="en-GB"/>
        </w:rPr>
        <w:t xml:space="preserve">will not reduce </w:t>
      </w:r>
      <w:r w:rsidR="00D5156D">
        <w:rPr>
          <w:lang w:val="en-GB"/>
        </w:rPr>
        <w:t>error</w:t>
      </w:r>
      <w:r w:rsidR="00DE172B">
        <w:rPr>
          <w:lang w:val="en-GB"/>
        </w:rPr>
        <w:t>s</w:t>
      </w:r>
      <w:r w:rsidR="00D5156D">
        <w:rPr>
          <w:lang w:val="en-GB"/>
        </w:rPr>
        <w:t xml:space="preserve"> in reference dates </w:t>
      </w:r>
      <w:r w:rsidR="002768BA">
        <w:rPr>
          <w:lang w:val="en-GB"/>
        </w:rPr>
        <w:t>which are</w:t>
      </w:r>
      <w:r w:rsidR="00D5156D">
        <w:rPr>
          <w:lang w:val="en-GB"/>
        </w:rPr>
        <w:t xml:space="preserve"> detected in a later stage (once data is compared </w:t>
      </w:r>
      <w:r w:rsidR="00DE172B">
        <w:rPr>
          <w:lang w:val="en-GB"/>
        </w:rPr>
        <w:t>against</w:t>
      </w:r>
      <w:r w:rsidR="00D5156D">
        <w:rPr>
          <w:lang w:val="en-GB"/>
        </w:rPr>
        <w:t xml:space="preserve"> the </w:t>
      </w:r>
      <w:r w:rsidR="00DE172B">
        <w:rPr>
          <w:lang w:val="en-GB"/>
        </w:rPr>
        <w:t xml:space="preserve">NCA </w:t>
      </w:r>
      <w:r w:rsidR="00D5156D">
        <w:rPr>
          <w:lang w:val="en-GB"/>
        </w:rPr>
        <w:t>register</w:t>
      </w:r>
      <w:r w:rsidR="00DE172B">
        <w:rPr>
          <w:lang w:val="en-GB"/>
        </w:rPr>
        <w:t>s</w:t>
      </w:r>
      <w:r w:rsidR="00D5156D">
        <w:rPr>
          <w:lang w:val="en-GB"/>
        </w:rPr>
        <w:t xml:space="preserve"> information) having to request later </w:t>
      </w:r>
      <w:r w:rsidR="002768BA">
        <w:rPr>
          <w:lang w:val="en-GB"/>
        </w:rPr>
        <w:t xml:space="preserve">a </w:t>
      </w:r>
      <w:r w:rsidR="00D5156D">
        <w:rPr>
          <w:lang w:val="en-GB"/>
        </w:rPr>
        <w:t>re-submission due to errors in the use of the reference dates</w:t>
      </w:r>
      <w:r>
        <w:rPr>
          <w:lang w:val="en-GB"/>
        </w:rPr>
        <w:t xml:space="preserve">. </w:t>
      </w:r>
    </w:p>
    <w:p w14:paraId="0AEE5302" w14:textId="77777777" w:rsidR="00C41B56" w:rsidRPr="00440960" w:rsidRDefault="00C41B56" w:rsidP="00C41B56">
      <w:pPr>
        <w:autoSpaceDE w:val="0"/>
        <w:autoSpaceDN w:val="0"/>
        <w:adjustRightInd w:val="0"/>
        <w:spacing w:line="276" w:lineRule="auto"/>
        <w:ind w:left="720"/>
        <w:jc w:val="both"/>
        <w:rPr>
          <w:lang w:val="en-GB"/>
        </w:rPr>
      </w:pPr>
    </w:p>
    <w:p w14:paraId="25750187" w14:textId="59C7D967" w:rsidR="00EE1105" w:rsidRDefault="00EE1105" w:rsidP="00E01A3B">
      <w:pPr>
        <w:pStyle w:val="ListParagraph"/>
        <w:numPr>
          <w:ilvl w:val="0"/>
          <w:numId w:val="16"/>
        </w:numPr>
        <w:spacing w:after="0"/>
        <w:ind w:left="709" w:hanging="709"/>
        <w:jc w:val="both"/>
        <w:rPr>
          <w:b/>
          <w:lang w:val="en-GB"/>
        </w:rPr>
      </w:pPr>
      <w:r w:rsidRPr="00EE1105">
        <w:rPr>
          <w:b/>
          <w:lang w:val="en-GB"/>
        </w:rPr>
        <w:t>Introduction of new options in close list for ad-hoc reporting in S.</w:t>
      </w:r>
      <w:r w:rsidR="00440960">
        <w:rPr>
          <w:b/>
          <w:lang w:val="en-GB"/>
        </w:rPr>
        <w:t>01.02.C0010/R0100</w:t>
      </w:r>
    </w:p>
    <w:p w14:paraId="244D5040" w14:textId="18ED4712" w:rsidR="00B40A64" w:rsidRDefault="00B40A64" w:rsidP="00E01A3B">
      <w:pPr>
        <w:numPr>
          <w:ilvl w:val="1"/>
          <w:numId w:val="10"/>
        </w:numPr>
        <w:autoSpaceDE w:val="0"/>
        <w:autoSpaceDN w:val="0"/>
        <w:adjustRightInd w:val="0"/>
        <w:spacing w:line="276" w:lineRule="auto"/>
        <w:jc w:val="both"/>
        <w:rPr>
          <w:lang w:val="en-GB"/>
        </w:rPr>
      </w:pPr>
      <w:proofErr w:type="gramStart"/>
      <w:r>
        <w:rPr>
          <w:lang w:val="en-GB"/>
        </w:rPr>
        <w:t>Raised</w:t>
      </w:r>
      <w:proofErr w:type="gramEnd"/>
      <w:r>
        <w:rPr>
          <w:lang w:val="en-GB"/>
        </w:rPr>
        <w:t xml:space="preserve"> by </w:t>
      </w:r>
      <w:r w:rsidR="00AA3D6E" w:rsidRPr="00B40A64">
        <w:rPr>
          <w:lang w:val="en-GB"/>
        </w:rPr>
        <w:t>Q&amp;A</w:t>
      </w:r>
      <w:r w:rsidR="00336D72">
        <w:rPr>
          <w:lang w:val="en-GB"/>
        </w:rPr>
        <w:t xml:space="preserve"> </w:t>
      </w:r>
      <w:r w:rsidR="00AA3D6E" w:rsidRPr="00B40A64">
        <w:rPr>
          <w:lang w:val="en-GB"/>
        </w:rPr>
        <w:t xml:space="preserve">845 (still open – </w:t>
      </w:r>
      <w:r>
        <w:rPr>
          <w:lang w:val="en-GB"/>
        </w:rPr>
        <w:t xml:space="preserve">as it </w:t>
      </w:r>
      <w:r w:rsidR="00AA3D6E" w:rsidRPr="00B40A64">
        <w:rPr>
          <w:lang w:val="en-GB"/>
        </w:rPr>
        <w:t xml:space="preserve">was pending </w:t>
      </w:r>
      <w:r>
        <w:rPr>
          <w:lang w:val="en-GB"/>
        </w:rPr>
        <w:t xml:space="preserve">taxonomy related decisions). </w:t>
      </w:r>
    </w:p>
    <w:p w14:paraId="441638A5" w14:textId="6096615D" w:rsidR="00333C9E" w:rsidRPr="00D62083" w:rsidRDefault="003405BA" w:rsidP="008D6585">
      <w:pPr>
        <w:pStyle w:val="ListParagraph"/>
        <w:numPr>
          <w:ilvl w:val="1"/>
          <w:numId w:val="10"/>
        </w:numPr>
        <w:jc w:val="both"/>
        <w:rPr>
          <w:lang w:val="en-GB"/>
        </w:rPr>
      </w:pPr>
      <w:r w:rsidRPr="00D62083">
        <w:rPr>
          <w:lang w:val="en-GB"/>
        </w:rPr>
        <w:t xml:space="preserve">Add </w:t>
      </w:r>
      <w:r w:rsidR="00D62083" w:rsidRPr="00D62083">
        <w:rPr>
          <w:lang w:val="en-GB"/>
        </w:rPr>
        <w:t>the</w:t>
      </w:r>
      <w:r w:rsidR="00333C9E" w:rsidRPr="00D62083">
        <w:rPr>
          <w:lang w:val="en-GB"/>
        </w:rPr>
        <w:t xml:space="preserve"> elements </w:t>
      </w:r>
      <w:r w:rsidR="00D62083" w:rsidRPr="00D62083">
        <w:rPr>
          <w:lang w:val="en-GB"/>
        </w:rPr>
        <w:t xml:space="preserve">“Re-submission of S.30 templates in accordance with instructions of the template” and “Empty submission” to </w:t>
      </w:r>
      <w:r w:rsidR="00333C9E" w:rsidRPr="00D62083">
        <w:rPr>
          <w:lang w:val="en-GB"/>
        </w:rPr>
        <w:t>the</w:t>
      </w:r>
      <w:r w:rsidR="00D62083">
        <w:rPr>
          <w:lang w:val="en-GB"/>
        </w:rPr>
        <w:t xml:space="preserve"> exi</w:t>
      </w:r>
      <w:r w:rsidR="00ED57B9">
        <w:rPr>
          <w:lang w:val="en-GB"/>
        </w:rPr>
        <w:t>s</w:t>
      </w:r>
      <w:r w:rsidR="00D62083">
        <w:rPr>
          <w:lang w:val="en-GB"/>
        </w:rPr>
        <w:t>ting “Regular” and “Ad hoc” elements of the</w:t>
      </w:r>
      <w:r w:rsidR="00333C9E" w:rsidRPr="00D62083">
        <w:rPr>
          <w:lang w:val="en-GB"/>
        </w:rPr>
        <w:t xml:space="preserve"> </w:t>
      </w:r>
      <w:r w:rsidR="00D62083" w:rsidRPr="00D62083">
        <w:rPr>
          <w:lang w:val="en-GB"/>
        </w:rPr>
        <w:t>S.01.02.C0010/R0100</w:t>
      </w:r>
      <w:r w:rsidR="00D62083">
        <w:rPr>
          <w:lang w:val="en-GB"/>
        </w:rPr>
        <w:t>.</w:t>
      </w:r>
    </w:p>
    <w:p w14:paraId="166C2F68" w14:textId="3749DDCA" w:rsidR="00AF2FF1" w:rsidRDefault="00333C9E" w:rsidP="00ED57B9">
      <w:pPr>
        <w:numPr>
          <w:ilvl w:val="1"/>
          <w:numId w:val="10"/>
        </w:numPr>
        <w:autoSpaceDE w:val="0"/>
        <w:autoSpaceDN w:val="0"/>
        <w:adjustRightInd w:val="0"/>
        <w:spacing w:line="276" w:lineRule="auto"/>
        <w:jc w:val="both"/>
        <w:rPr>
          <w:lang w:val="en-GB"/>
        </w:rPr>
      </w:pPr>
      <w:r w:rsidRPr="00333C9E">
        <w:rPr>
          <w:lang w:val="en-GB"/>
        </w:rPr>
        <w:t xml:space="preserve">There are </w:t>
      </w:r>
      <w:r w:rsidR="003405BA">
        <w:rPr>
          <w:lang w:val="en-GB"/>
        </w:rPr>
        <w:t>uncommon</w:t>
      </w:r>
      <w:r w:rsidRPr="00333C9E">
        <w:rPr>
          <w:lang w:val="en-GB"/>
        </w:rPr>
        <w:t xml:space="preserve"> scenarios set out by the underlying Solvency II regulations which require a specific use of the taxonomy by the undertakings, National Competent Authorities and EIOPA in order for these reports </w:t>
      </w:r>
      <w:r w:rsidR="00CA326A">
        <w:rPr>
          <w:lang w:val="en-GB"/>
        </w:rPr>
        <w:t xml:space="preserve">to </w:t>
      </w:r>
      <w:r w:rsidRPr="00333C9E">
        <w:rPr>
          <w:lang w:val="en-GB"/>
        </w:rPr>
        <w:t>be submitted using the SII XBRL taxonomy.</w:t>
      </w:r>
      <w:r>
        <w:rPr>
          <w:lang w:val="en-GB"/>
        </w:rPr>
        <w:t xml:space="preserve"> </w:t>
      </w:r>
      <w:r w:rsidR="003405BA">
        <w:rPr>
          <w:lang w:val="en-GB"/>
        </w:rPr>
        <w:t xml:space="preserve">A guide in the EIOPA taxonomy website </w:t>
      </w:r>
      <w:proofErr w:type="gramStart"/>
      <w:r w:rsidR="002768BA">
        <w:rPr>
          <w:lang w:val="en-GB"/>
        </w:rPr>
        <w:t xml:space="preserve">was </w:t>
      </w:r>
      <w:r w:rsidR="003405BA">
        <w:rPr>
          <w:lang w:val="en-GB"/>
        </w:rPr>
        <w:t>published</w:t>
      </w:r>
      <w:proofErr w:type="gramEnd"/>
      <w:r w:rsidR="002768BA">
        <w:rPr>
          <w:rStyle w:val="FootnoteReference"/>
          <w:lang w:val="en-GB"/>
        </w:rPr>
        <w:footnoteReference w:id="3"/>
      </w:r>
      <w:r w:rsidR="003405BA">
        <w:rPr>
          <w:lang w:val="en-GB"/>
        </w:rPr>
        <w:t xml:space="preserve"> indicating </w:t>
      </w:r>
      <w:r>
        <w:rPr>
          <w:lang w:val="en-GB"/>
        </w:rPr>
        <w:t xml:space="preserve">how to report </w:t>
      </w:r>
      <w:r w:rsidR="003405BA">
        <w:rPr>
          <w:lang w:val="en-GB"/>
        </w:rPr>
        <w:t>these cases</w:t>
      </w:r>
      <w:r>
        <w:rPr>
          <w:lang w:val="en-GB"/>
        </w:rPr>
        <w:t xml:space="preserve"> with 2.0.1 and 2.1.0 taxonomy versions. </w:t>
      </w:r>
    </w:p>
    <w:p w14:paraId="266CD1A4" w14:textId="37BF715B" w:rsidR="00F90319" w:rsidRDefault="00F90319" w:rsidP="00ED57B9">
      <w:pPr>
        <w:numPr>
          <w:ilvl w:val="1"/>
          <w:numId w:val="10"/>
        </w:numPr>
        <w:autoSpaceDE w:val="0"/>
        <w:autoSpaceDN w:val="0"/>
        <w:adjustRightInd w:val="0"/>
        <w:spacing w:line="276" w:lineRule="auto"/>
        <w:jc w:val="both"/>
        <w:rPr>
          <w:lang w:val="en-GB"/>
        </w:rPr>
      </w:pPr>
      <w:r>
        <w:rPr>
          <w:lang w:val="en-GB"/>
        </w:rPr>
        <w:t xml:space="preserve">The option on “Empty submissions” is to </w:t>
      </w:r>
      <w:proofErr w:type="gramStart"/>
      <w:r>
        <w:rPr>
          <w:lang w:val="en-GB"/>
        </w:rPr>
        <w:t>be used</w:t>
      </w:r>
      <w:proofErr w:type="gramEnd"/>
      <w:r>
        <w:rPr>
          <w:lang w:val="en-GB"/>
        </w:rPr>
        <w:t xml:space="preserve"> in very specific circumstances, for example in case of mergers where one of the companies might still need to submit an empty submission for a specific reference date. </w:t>
      </w:r>
    </w:p>
    <w:p w14:paraId="579F9854" w14:textId="77777777" w:rsidR="00AF2FF1" w:rsidRDefault="00AF2FF1" w:rsidP="00AF2FF1">
      <w:pPr>
        <w:numPr>
          <w:ilvl w:val="1"/>
          <w:numId w:val="10"/>
        </w:numPr>
        <w:autoSpaceDE w:val="0"/>
        <w:autoSpaceDN w:val="0"/>
        <w:adjustRightInd w:val="0"/>
        <w:spacing w:line="276" w:lineRule="auto"/>
        <w:jc w:val="both"/>
        <w:rPr>
          <w:lang w:val="en-GB"/>
        </w:rPr>
      </w:pPr>
      <w:r>
        <w:rPr>
          <w:lang w:val="en-GB"/>
        </w:rPr>
        <w:t xml:space="preserve">Impact of amendment: </w:t>
      </w:r>
      <w:proofErr w:type="gramStart"/>
      <w:r>
        <w:rPr>
          <w:lang w:val="en-GB"/>
        </w:rPr>
        <w:t>is not considered</w:t>
      </w:r>
      <w:proofErr w:type="gramEnd"/>
      <w:r>
        <w:rPr>
          <w:lang w:val="en-GB"/>
        </w:rPr>
        <w:t xml:space="preserve"> as having a material impact as it addresses very specific submissions. </w:t>
      </w:r>
      <w:r w:rsidR="00B40A64">
        <w:rPr>
          <w:lang w:val="en-GB"/>
        </w:rPr>
        <w:t xml:space="preserve">It would however </w:t>
      </w:r>
      <w:r w:rsidR="00D62083">
        <w:rPr>
          <w:lang w:val="en-GB"/>
        </w:rPr>
        <w:t xml:space="preserve">facilitate the reporting, </w:t>
      </w:r>
      <w:r w:rsidR="00D62083" w:rsidRPr="00D62083">
        <w:rPr>
          <w:lang w:val="en-GB"/>
        </w:rPr>
        <w:t>processing, validation and ana</w:t>
      </w:r>
      <w:r w:rsidR="00D62083">
        <w:rPr>
          <w:lang w:val="en-GB"/>
        </w:rPr>
        <w:t>lyses of the information</w:t>
      </w:r>
      <w:r w:rsidR="00ED57B9">
        <w:rPr>
          <w:lang w:val="en-GB"/>
        </w:rPr>
        <w:t xml:space="preserve"> for these cases. </w:t>
      </w:r>
    </w:p>
    <w:p w14:paraId="1F3CF3EF" w14:textId="78CBFF7D" w:rsidR="00B40A64" w:rsidRPr="00B40A64" w:rsidRDefault="00AF2FF1" w:rsidP="00ED57B9">
      <w:pPr>
        <w:numPr>
          <w:ilvl w:val="1"/>
          <w:numId w:val="10"/>
        </w:numPr>
        <w:autoSpaceDE w:val="0"/>
        <w:autoSpaceDN w:val="0"/>
        <w:adjustRightInd w:val="0"/>
        <w:spacing w:line="276" w:lineRule="auto"/>
        <w:jc w:val="both"/>
        <w:rPr>
          <w:lang w:val="en-GB"/>
        </w:rPr>
      </w:pPr>
      <w:r w:rsidRPr="00EF624E">
        <w:rPr>
          <w:lang w:val="en-GB"/>
        </w:rPr>
        <w:t>Impact of not amending: all the three submissions (Ad–hoc reporting; Re-submission of S.30 templates in accordance with instructions of the template; and Empty submission) will need to be treated in the same wa</w:t>
      </w:r>
      <w:r>
        <w:rPr>
          <w:lang w:val="en-GB"/>
        </w:rPr>
        <w:t>y not been able to implement taxonomy quality checks to ensure that each of the cases correspond with the actual reported information.</w:t>
      </w:r>
    </w:p>
    <w:p w14:paraId="710C63C0" w14:textId="3EE1B694" w:rsidR="00440960" w:rsidRPr="00EF624E" w:rsidRDefault="00B40A64" w:rsidP="0025740C">
      <w:pPr>
        <w:numPr>
          <w:ilvl w:val="1"/>
          <w:numId w:val="10"/>
        </w:numPr>
        <w:autoSpaceDE w:val="0"/>
        <w:autoSpaceDN w:val="0"/>
        <w:adjustRightInd w:val="0"/>
        <w:spacing w:line="276" w:lineRule="auto"/>
        <w:jc w:val="both"/>
        <w:rPr>
          <w:b/>
          <w:lang w:val="en-GB"/>
        </w:rPr>
      </w:pPr>
      <w:r>
        <w:rPr>
          <w:lang w:val="en-GB"/>
        </w:rPr>
        <w:t xml:space="preserve">Impact of amendment: </w:t>
      </w:r>
      <w:proofErr w:type="gramStart"/>
      <w:r>
        <w:rPr>
          <w:lang w:val="en-GB"/>
        </w:rPr>
        <w:t>is not considered</w:t>
      </w:r>
      <w:proofErr w:type="gramEnd"/>
      <w:r>
        <w:rPr>
          <w:lang w:val="en-GB"/>
        </w:rPr>
        <w:t xml:space="preserve"> </w:t>
      </w:r>
      <w:r w:rsidR="00365078">
        <w:rPr>
          <w:lang w:val="en-GB"/>
        </w:rPr>
        <w:t>to</w:t>
      </w:r>
      <w:r>
        <w:rPr>
          <w:lang w:val="en-GB"/>
        </w:rPr>
        <w:t xml:space="preserve"> hav</w:t>
      </w:r>
      <w:r w:rsidR="00365078">
        <w:rPr>
          <w:lang w:val="en-GB"/>
        </w:rPr>
        <w:t>e</w:t>
      </w:r>
      <w:r>
        <w:rPr>
          <w:lang w:val="en-GB"/>
        </w:rPr>
        <w:t xml:space="preserve"> a material impact as it addresses very specific submissions. </w:t>
      </w:r>
    </w:p>
    <w:p w14:paraId="582F4FD2" w14:textId="77777777" w:rsidR="0025740C" w:rsidRDefault="0025740C" w:rsidP="0025740C">
      <w:pPr>
        <w:pStyle w:val="ListParagraph"/>
        <w:spacing w:after="0"/>
        <w:ind w:left="709"/>
        <w:jc w:val="both"/>
        <w:rPr>
          <w:rStyle w:val="Regular"/>
          <w:b/>
          <w:lang w:val="en-GB"/>
        </w:rPr>
      </w:pPr>
    </w:p>
    <w:p w14:paraId="14C867FF" w14:textId="06F9EDF3" w:rsidR="00EE1105" w:rsidRPr="00EE1105" w:rsidRDefault="00EE1105" w:rsidP="00E01A3B">
      <w:pPr>
        <w:pStyle w:val="ListParagraph"/>
        <w:numPr>
          <w:ilvl w:val="0"/>
          <w:numId w:val="16"/>
        </w:numPr>
        <w:spacing w:after="0"/>
        <w:ind w:left="709" w:hanging="709"/>
        <w:jc w:val="both"/>
        <w:rPr>
          <w:rStyle w:val="Regular"/>
          <w:b/>
          <w:lang w:val="en-GB"/>
        </w:rPr>
      </w:pPr>
      <w:r w:rsidRPr="00EE1105">
        <w:rPr>
          <w:rStyle w:val="Regular"/>
          <w:b/>
          <w:lang w:val="en-GB"/>
        </w:rPr>
        <w:t>Inclusion of investment contracts</w:t>
      </w:r>
      <w:r w:rsidRPr="00EE1105">
        <w:rPr>
          <w:b/>
          <w:lang w:val="en-GB"/>
        </w:rPr>
        <w:t xml:space="preserve"> in the scope S.04/</w:t>
      </w:r>
      <w:r w:rsidRPr="00EE1105">
        <w:rPr>
          <w:rStyle w:val="Regular"/>
          <w:b/>
          <w:lang w:val="en-GB"/>
        </w:rPr>
        <w:t>S.05</w:t>
      </w:r>
    </w:p>
    <w:p w14:paraId="186391B3" w14:textId="01231DE8" w:rsidR="00336D72" w:rsidRDefault="00336D72" w:rsidP="00E01A3B">
      <w:pPr>
        <w:numPr>
          <w:ilvl w:val="1"/>
          <w:numId w:val="10"/>
        </w:numPr>
        <w:autoSpaceDE w:val="0"/>
        <w:autoSpaceDN w:val="0"/>
        <w:adjustRightInd w:val="0"/>
        <w:spacing w:line="276" w:lineRule="auto"/>
        <w:jc w:val="both"/>
        <w:rPr>
          <w:lang w:val="en-GB"/>
        </w:rPr>
      </w:pPr>
      <w:proofErr w:type="gramStart"/>
      <w:r w:rsidRPr="00C41B56">
        <w:rPr>
          <w:lang w:val="en-GB"/>
        </w:rPr>
        <w:t>Raised</w:t>
      </w:r>
      <w:proofErr w:type="gramEnd"/>
      <w:r w:rsidRPr="00C41B56">
        <w:rPr>
          <w:lang w:val="en-GB"/>
        </w:rPr>
        <w:t xml:space="preserve"> by Q&amp;A 802 which answer was published on the 17 February 2017. </w:t>
      </w:r>
      <w:r w:rsidRPr="00336D72">
        <w:rPr>
          <w:lang w:val="en-GB"/>
        </w:rPr>
        <w:t xml:space="preserve">In that Q&amp;A the following was answered: </w:t>
      </w:r>
    </w:p>
    <w:p w14:paraId="3B3F0866" w14:textId="0243F1E0" w:rsidR="00336D72" w:rsidRDefault="00336D72" w:rsidP="00336D72">
      <w:pPr>
        <w:autoSpaceDE w:val="0"/>
        <w:autoSpaceDN w:val="0"/>
        <w:adjustRightInd w:val="0"/>
        <w:spacing w:line="276" w:lineRule="auto"/>
        <w:ind w:left="720"/>
        <w:jc w:val="both"/>
        <w:rPr>
          <w:lang w:val="en-GB"/>
        </w:rPr>
      </w:pPr>
      <w:r>
        <w:rPr>
          <w:lang w:val="en-GB"/>
        </w:rPr>
        <w:t>“</w:t>
      </w:r>
      <w:r w:rsidRPr="00336D72">
        <w:rPr>
          <w:lang w:val="en-GB"/>
        </w:rPr>
        <w:t xml:space="preserve">When the instructions of the template refer to "insurance contracts" it should be considered as insurance contracts under Solvency II, i.e. all insurance contracts issued by the undertakings. </w:t>
      </w:r>
      <w:r w:rsidRPr="00336D72">
        <w:rPr>
          <w:lang w:val="en-GB"/>
        </w:rPr>
        <w:cr/>
        <w:t xml:space="preserve">This means that regardless of the use of IFRS, if accepted as local GAAP, or local GAAP under which some contracts </w:t>
      </w:r>
      <w:proofErr w:type="gramStart"/>
      <w:r w:rsidRPr="00336D72">
        <w:rPr>
          <w:lang w:val="en-GB"/>
        </w:rPr>
        <w:t>may be classified</w:t>
      </w:r>
      <w:proofErr w:type="gramEnd"/>
      <w:r w:rsidRPr="00336D72">
        <w:rPr>
          <w:lang w:val="en-GB"/>
        </w:rPr>
        <w:t xml:space="preserve"> as investment contracts, the premiums, claims, and expenses requested in templates S.04.01, S.05.01 and S.05.02 should consider all insurance business.  </w:t>
      </w:r>
      <w:r w:rsidRPr="00336D72">
        <w:rPr>
          <w:lang w:val="en-GB"/>
        </w:rPr>
        <w:cr/>
        <w:t>As this might not be clear from the instructions of the templates, undertakings might have implemented it differently; applying accounting standards that recognise some insurance contracts as investment contracts, and therefore currently not includes these amounts in the referred templates. EIOPA will put forward a corresponding amendment in the next revision of the ITS. In the meantime, undertakings can choose to comply with this interpretation in time for the Q4 and annual 2016 Solvency II submissions, as well as for the subsequent quarterly and annual submissions. Where they are unable to do so, ad-hoc reporting for supervisory purposes can be requested by NSAs where information is required for supervisory purposes.</w:t>
      </w:r>
      <w:r>
        <w:rPr>
          <w:lang w:val="en-GB"/>
        </w:rPr>
        <w:t>”</w:t>
      </w:r>
    </w:p>
    <w:p w14:paraId="647A79A8" w14:textId="47791CB7" w:rsidR="00336D72" w:rsidRPr="00947488" w:rsidRDefault="00336D72" w:rsidP="00E01A3B">
      <w:pPr>
        <w:numPr>
          <w:ilvl w:val="1"/>
          <w:numId w:val="10"/>
        </w:numPr>
        <w:autoSpaceDE w:val="0"/>
        <w:autoSpaceDN w:val="0"/>
        <w:adjustRightInd w:val="0"/>
        <w:spacing w:line="276" w:lineRule="auto"/>
        <w:jc w:val="both"/>
        <w:rPr>
          <w:lang w:val="en-GB"/>
        </w:rPr>
      </w:pPr>
      <w:r w:rsidRPr="00947488">
        <w:rPr>
          <w:lang w:val="en-GB"/>
        </w:rPr>
        <w:t xml:space="preserve">Impact of amendment: </w:t>
      </w:r>
      <w:proofErr w:type="gramStart"/>
      <w:r w:rsidRPr="00947488">
        <w:rPr>
          <w:lang w:val="en-GB"/>
        </w:rPr>
        <w:t>for the undertakings</w:t>
      </w:r>
      <w:proofErr w:type="gramEnd"/>
      <w:r w:rsidRPr="00947488">
        <w:rPr>
          <w:lang w:val="en-GB"/>
        </w:rPr>
        <w:t xml:space="preserve"> applying accounting standards that recognise some insurance contracts as investment contracts and that were currently not including these amounts in the referred templates </w:t>
      </w:r>
      <w:r w:rsidR="00542EFB">
        <w:rPr>
          <w:lang w:val="en-GB"/>
        </w:rPr>
        <w:t xml:space="preserve">this </w:t>
      </w:r>
      <w:r w:rsidRPr="00947488">
        <w:rPr>
          <w:lang w:val="en-GB"/>
        </w:rPr>
        <w:t>might have a material impact. However it should be noted that in some Members where the accounting standards foresee this classification undertakings were in fact already reporting th</w:t>
      </w:r>
      <w:r w:rsidR="00542EFB">
        <w:rPr>
          <w:lang w:val="en-GB"/>
        </w:rPr>
        <w:t>e</w:t>
      </w:r>
      <w:r w:rsidRPr="00947488">
        <w:rPr>
          <w:lang w:val="en-GB"/>
        </w:rPr>
        <w:t>s</w:t>
      </w:r>
      <w:r w:rsidR="00542EFB">
        <w:rPr>
          <w:lang w:val="en-GB"/>
        </w:rPr>
        <w:t>e</w:t>
      </w:r>
      <w:r w:rsidRPr="00947488">
        <w:rPr>
          <w:lang w:val="en-GB"/>
        </w:rPr>
        <w:t xml:space="preserve"> contracts within the templates</w:t>
      </w:r>
      <w:r w:rsidR="006833AD" w:rsidRPr="00947488">
        <w:rPr>
          <w:lang w:val="en-GB"/>
        </w:rPr>
        <w:t xml:space="preserve"> and in the cases where this</w:t>
      </w:r>
      <w:r w:rsidRPr="00947488">
        <w:rPr>
          <w:lang w:val="en-GB"/>
        </w:rPr>
        <w:t xml:space="preserve"> </w:t>
      </w:r>
      <w:r w:rsidR="00947488" w:rsidRPr="00947488">
        <w:rPr>
          <w:lang w:val="en-GB"/>
        </w:rPr>
        <w:t xml:space="preserve">was not happening ad-hoc reporting </w:t>
      </w:r>
      <w:proofErr w:type="gramStart"/>
      <w:r w:rsidR="00947488" w:rsidRPr="00947488">
        <w:rPr>
          <w:lang w:val="en-GB"/>
        </w:rPr>
        <w:t>would be needed</w:t>
      </w:r>
      <w:proofErr w:type="gramEnd"/>
      <w:r w:rsidR="00947488" w:rsidRPr="00947488">
        <w:rPr>
          <w:lang w:val="en-GB"/>
        </w:rPr>
        <w:t xml:space="preserve"> for NCAs to comply with article 159 of the Solvency II Directive.</w:t>
      </w:r>
      <w:r w:rsidRPr="00947488">
        <w:rPr>
          <w:lang w:val="en-GB"/>
        </w:rPr>
        <w:t xml:space="preserve"> </w:t>
      </w:r>
    </w:p>
    <w:p w14:paraId="499A1678" w14:textId="755D7067" w:rsidR="00336D72" w:rsidRPr="00CF7E20" w:rsidRDefault="00336D72" w:rsidP="00E01A3B">
      <w:pPr>
        <w:numPr>
          <w:ilvl w:val="1"/>
          <w:numId w:val="10"/>
        </w:numPr>
        <w:autoSpaceDE w:val="0"/>
        <w:autoSpaceDN w:val="0"/>
        <w:adjustRightInd w:val="0"/>
        <w:spacing w:line="276" w:lineRule="auto"/>
        <w:jc w:val="both"/>
        <w:rPr>
          <w:lang w:val="en-GB"/>
        </w:rPr>
      </w:pPr>
      <w:r w:rsidRPr="00CF7E20">
        <w:rPr>
          <w:lang w:val="en-GB"/>
        </w:rPr>
        <w:t>Impact of not amending:</w:t>
      </w:r>
      <w:r w:rsidR="00947488">
        <w:rPr>
          <w:lang w:val="en-GB"/>
        </w:rPr>
        <w:t xml:space="preserve"> should not be an actual option. EIOPA already announced to put </w:t>
      </w:r>
      <w:r w:rsidR="00947488" w:rsidRPr="00336D72">
        <w:rPr>
          <w:lang w:val="en-GB"/>
        </w:rPr>
        <w:t>forward a corresponding amendment in the next revision of the ITS</w:t>
      </w:r>
      <w:r>
        <w:rPr>
          <w:lang w:val="en-GB"/>
        </w:rPr>
        <w:t>.</w:t>
      </w:r>
      <w:r w:rsidR="00947488">
        <w:rPr>
          <w:lang w:val="en-GB"/>
        </w:rPr>
        <w:t xml:space="preserve"> The impact would be </w:t>
      </w:r>
      <w:r w:rsidR="0061051E">
        <w:rPr>
          <w:lang w:val="en-GB"/>
        </w:rPr>
        <w:t xml:space="preserve">the </w:t>
      </w:r>
      <w:r w:rsidR="00947488">
        <w:rPr>
          <w:lang w:val="en-GB"/>
        </w:rPr>
        <w:t xml:space="preserve">need for ad-hoc reporting and inconsistency in the information covered by those templates as different approaches </w:t>
      </w:r>
      <w:proofErr w:type="gramStart"/>
      <w:r w:rsidR="00947488">
        <w:rPr>
          <w:lang w:val="en-GB"/>
        </w:rPr>
        <w:t>are currently being followed</w:t>
      </w:r>
      <w:proofErr w:type="gramEnd"/>
      <w:r w:rsidR="00947488">
        <w:rPr>
          <w:lang w:val="en-GB"/>
        </w:rPr>
        <w:t xml:space="preserve">. </w:t>
      </w:r>
    </w:p>
    <w:p w14:paraId="03A2DA8C" w14:textId="77777777" w:rsidR="00336D72" w:rsidRPr="00336D72" w:rsidRDefault="00336D72" w:rsidP="00336D72">
      <w:pPr>
        <w:autoSpaceDE w:val="0"/>
        <w:autoSpaceDN w:val="0"/>
        <w:adjustRightInd w:val="0"/>
        <w:spacing w:line="276" w:lineRule="auto"/>
        <w:ind w:left="720"/>
        <w:jc w:val="both"/>
        <w:rPr>
          <w:lang w:val="en-GB"/>
        </w:rPr>
      </w:pPr>
    </w:p>
    <w:p w14:paraId="674A4DD8" w14:textId="54B18D4A" w:rsidR="00EE1105" w:rsidRPr="00EE1105" w:rsidRDefault="00EE1105" w:rsidP="00E01A3B">
      <w:pPr>
        <w:pStyle w:val="ListParagraph"/>
        <w:numPr>
          <w:ilvl w:val="0"/>
          <w:numId w:val="16"/>
        </w:numPr>
        <w:spacing w:after="0"/>
        <w:ind w:left="709" w:hanging="709"/>
        <w:jc w:val="both"/>
        <w:rPr>
          <w:rStyle w:val="Bold"/>
          <w:lang w:val="en-GB"/>
        </w:rPr>
      </w:pPr>
      <w:r w:rsidRPr="00EE1105">
        <w:rPr>
          <w:rStyle w:val="Bold"/>
          <w:lang w:val="en-GB"/>
        </w:rPr>
        <w:t>Flexibility in the application of look-through in S.06.03</w:t>
      </w:r>
    </w:p>
    <w:p w14:paraId="6DD49BE4" w14:textId="52C158B9" w:rsidR="00E753F0" w:rsidRPr="00E753F0" w:rsidRDefault="00E753F0" w:rsidP="00E753F0">
      <w:pPr>
        <w:pStyle w:val="Bulletpoints1"/>
        <w:numPr>
          <w:ilvl w:val="0"/>
          <w:numId w:val="0"/>
        </w:numPr>
        <w:ind w:left="709" w:hanging="709"/>
        <w:rPr>
          <w:b/>
        </w:rPr>
      </w:pPr>
      <w:r w:rsidRPr="00E753F0">
        <w:rPr>
          <w:b/>
        </w:rPr>
        <w:t>e.</w:t>
      </w:r>
      <w:r w:rsidR="00EE1105" w:rsidRPr="00E753F0">
        <w:rPr>
          <w:b/>
        </w:rPr>
        <w:t xml:space="preserve">1) </w:t>
      </w:r>
      <w:r w:rsidRPr="00E753F0">
        <w:rPr>
          <w:b/>
        </w:rPr>
        <w:tab/>
        <w:t>Look-through by geographical area:</w:t>
      </w:r>
    </w:p>
    <w:p w14:paraId="611053DB" w14:textId="72007746" w:rsidR="00EE1105" w:rsidRPr="00E753F0" w:rsidRDefault="00EE1105" w:rsidP="00E01A3B">
      <w:pPr>
        <w:numPr>
          <w:ilvl w:val="1"/>
          <w:numId w:val="10"/>
        </w:numPr>
        <w:autoSpaceDE w:val="0"/>
        <w:autoSpaceDN w:val="0"/>
        <w:adjustRightInd w:val="0"/>
        <w:spacing w:line="276" w:lineRule="auto"/>
        <w:jc w:val="both"/>
        <w:rPr>
          <w:lang w:val="en-GB"/>
        </w:rPr>
      </w:pPr>
      <w:r w:rsidRPr="00E753F0">
        <w:rPr>
          <w:lang w:val="en-GB"/>
        </w:rPr>
        <w:t xml:space="preserve">Current drafting implies the application of the materiality principle </w:t>
      </w:r>
      <w:r w:rsidR="00E753F0">
        <w:rPr>
          <w:lang w:val="en-GB"/>
        </w:rPr>
        <w:t xml:space="preserve">to the </w:t>
      </w:r>
      <w:r w:rsidRPr="00E753F0">
        <w:rPr>
          <w:lang w:val="en-GB"/>
        </w:rPr>
        <w:t xml:space="preserve">look-through, by geographical area to </w:t>
      </w:r>
      <w:proofErr w:type="gramStart"/>
      <w:r w:rsidRPr="00E753F0">
        <w:rPr>
          <w:lang w:val="en-GB"/>
        </w:rPr>
        <w:t>be done</w:t>
      </w:r>
      <w:proofErr w:type="gramEnd"/>
      <w:r w:rsidRPr="00E753F0">
        <w:rPr>
          <w:lang w:val="en-GB"/>
        </w:rPr>
        <w:t xml:space="preserve"> to 90% of each fund – irrespective of the materiality of the fund. </w:t>
      </w:r>
    </w:p>
    <w:p w14:paraId="4A6DD23F" w14:textId="5B3E1C85" w:rsidR="00EE1105" w:rsidRPr="00E753F0" w:rsidRDefault="00EE1105" w:rsidP="00E01A3B">
      <w:pPr>
        <w:numPr>
          <w:ilvl w:val="1"/>
          <w:numId w:val="10"/>
        </w:numPr>
        <w:autoSpaceDE w:val="0"/>
        <w:autoSpaceDN w:val="0"/>
        <w:adjustRightInd w:val="0"/>
        <w:spacing w:line="276" w:lineRule="auto"/>
        <w:jc w:val="both"/>
        <w:rPr>
          <w:lang w:val="en-GB"/>
        </w:rPr>
      </w:pPr>
      <w:r w:rsidRPr="00E753F0">
        <w:rPr>
          <w:lang w:val="en-GB"/>
        </w:rPr>
        <w:t xml:space="preserve">The proposed </w:t>
      </w:r>
      <w:r w:rsidR="00E753F0">
        <w:rPr>
          <w:lang w:val="en-GB"/>
        </w:rPr>
        <w:t xml:space="preserve">amendment </w:t>
      </w:r>
      <w:r w:rsidRPr="00E753F0">
        <w:rPr>
          <w:lang w:val="en-GB"/>
        </w:rPr>
        <w:t xml:space="preserve">aims to allow assessing the 90% considering the total amount of investments in Collective Investment Undertakings and not per fund. </w:t>
      </w:r>
      <w:r w:rsidR="00E753F0">
        <w:rPr>
          <w:lang w:val="en-GB"/>
        </w:rPr>
        <w:t>T</w:t>
      </w:r>
      <w:r w:rsidRPr="00E753F0">
        <w:rPr>
          <w:lang w:val="en-GB"/>
        </w:rPr>
        <w:t xml:space="preserve">he proposed correction </w:t>
      </w:r>
      <w:proofErr w:type="gramStart"/>
      <w:r w:rsidR="00E753F0">
        <w:rPr>
          <w:lang w:val="en-GB"/>
        </w:rPr>
        <w:t>might be seen</w:t>
      </w:r>
      <w:proofErr w:type="gramEnd"/>
      <w:r w:rsidR="00E753F0">
        <w:rPr>
          <w:lang w:val="en-GB"/>
        </w:rPr>
        <w:t xml:space="preserve"> as </w:t>
      </w:r>
      <w:r w:rsidRPr="00E753F0">
        <w:rPr>
          <w:lang w:val="en-GB"/>
        </w:rPr>
        <w:t>reflect</w:t>
      </w:r>
      <w:r w:rsidR="00E753F0">
        <w:rPr>
          <w:lang w:val="en-GB"/>
        </w:rPr>
        <w:t xml:space="preserve">ing the </w:t>
      </w:r>
      <w:r w:rsidRPr="00E753F0">
        <w:rPr>
          <w:lang w:val="en-GB"/>
        </w:rPr>
        <w:t xml:space="preserve">natural prudential reading of materiality principle. It </w:t>
      </w:r>
      <w:proofErr w:type="gramStart"/>
      <w:r w:rsidR="00E753F0">
        <w:rPr>
          <w:lang w:val="en-GB"/>
        </w:rPr>
        <w:t xml:space="preserve">may </w:t>
      </w:r>
      <w:r w:rsidRPr="00E753F0">
        <w:rPr>
          <w:lang w:val="en-GB"/>
        </w:rPr>
        <w:t xml:space="preserve">not </w:t>
      </w:r>
      <w:r w:rsidR="00E753F0">
        <w:rPr>
          <w:lang w:val="en-GB"/>
        </w:rPr>
        <w:t xml:space="preserve">be </w:t>
      </w:r>
      <w:r w:rsidRPr="00E753F0">
        <w:rPr>
          <w:lang w:val="en-GB"/>
        </w:rPr>
        <w:t>considered</w:t>
      </w:r>
      <w:proofErr w:type="gramEnd"/>
      <w:r w:rsidRPr="00E753F0">
        <w:rPr>
          <w:lang w:val="en-GB"/>
        </w:rPr>
        <w:t xml:space="preserve"> justifiable from a prudential perspective that a fund with a non-material amount is subject to disproportionate materiality considerations.</w:t>
      </w:r>
      <w:r w:rsidR="00E753F0">
        <w:rPr>
          <w:lang w:val="en-GB"/>
        </w:rPr>
        <w:t xml:space="preserve"> However, the look-through would need to </w:t>
      </w:r>
      <w:proofErr w:type="gramStart"/>
      <w:r w:rsidR="00E753F0">
        <w:rPr>
          <w:lang w:val="en-GB"/>
        </w:rPr>
        <w:t>be done</w:t>
      </w:r>
      <w:proofErr w:type="gramEnd"/>
      <w:r w:rsidR="00E753F0">
        <w:rPr>
          <w:lang w:val="en-GB"/>
        </w:rPr>
        <w:t xml:space="preserve"> considering the materiality of each fund, i.e. prioritising the biggest funds over the small ones. </w:t>
      </w:r>
    </w:p>
    <w:p w14:paraId="62047AFC" w14:textId="5EF5A48E" w:rsidR="00E753F0" w:rsidRDefault="00E753F0" w:rsidP="00E01A3B">
      <w:pPr>
        <w:numPr>
          <w:ilvl w:val="1"/>
          <w:numId w:val="10"/>
        </w:numPr>
        <w:autoSpaceDE w:val="0"/>
        <w:autoSpaceDN w:val="0"/>
        <w:adjustRightInd w:val="0"/>
        <w:spacing w:line="276" w:lineRule="auto"/>
        <w:jc w:val="both"/>
        <w:rPr>
          <w:lang w:val="en-GB"/>
        </w:rPr>
      </w:pPr>
      <w:r w:rsidRPr="00947488">
        <w:rPr>
          <w:lang w:val="en-GB"/>
        </w:rPr>
        <w:t>Impact of amendment:</w:t>
      </w:r>
      <w:r>
        <w:rPr>
          <w:lang w:val="en-GB"/>
        </w:rPr>
        <w:t xml:space="preserve"> for undertakings, previous requirement </w:t>
      </w:r>
      <w:proofErr w:type="gramStart"/>
      <w:r>
        <w:rPr>
          <w:lang w:val="en-GB"/>
        </w:rPr>
        <w:t>was</w:t>
      </w:r>
      <w:r w:rsidRPr="005719FA">
        <w:rPr>
          <w:lang w:val="en-GB"/>
        </w:rPr>
        <w:t xml:space="preserve"> identified</w:t>
      </w:r>
      <w:proofErr w:type="gramEnd"/>
      <w:r w:rsidRPr="005719FA">
        <w:rPr>
          <w:lang w:val="en-GB"/>
        </w:rPr>
        <w:t xml:space="preserve"> as extremely burdensome to implement</w:t>
      </w:r>
      <w:r>
        <w:rPr>
          <w:lang w:val="en-GB"/>
        </w:rPr>
        <w:t xml:space="preserve"> and from prudential perspective may not be justifiable. Should be noted that </w:t>
      </w:r>
      <w:r w:rsidR="00C83FD2">
        <w:rPr>
          <w:lang w:val="en-GB"/>
        </w:rPr>
        <w:t xml:space="preserve">if </w:t>
      </w:r>
      <w:r>
        <w:rPr>
          <w:lang w:val="en-GB"/>
        </w:rPr>
        <w:t xml:space="preserve">undertakings </w:t>
      </w:r>
      <w:r w:rsidR="00C83FD2">
        <w:rPr>
          <w:lang w:val="en-GB"/>
        </w:rPr>
        <w:t>w</w:t>
      </w:r>
      <w:r w:rsidR="006E4C78">
        <w:rPr>
          <w:lang w:val="en-GB"/>
        </w:rPr>
        <w:t xml:space="preserve">ish </w:t>
      </w:r>
      <w:r>
        <w:rPr>
          <w:lang w:val="en-GB"/>
        </w:rPr>
        <w:t>not to</w:t>
      </w:r>
      <w:r w:rsidR="006E4C78">
        <w:rPr>
          <w:lang w:val="en-GB"/>
        </w:rPr>
        <w:t xml:space="preserve"> </w:t>
      </w:r>
      <w:r>
        <w:rPr>
          <w:lang w:val="en-GB"/>
        </w:rPr>
        <w:t>change procedures, t</w:t>
      </w:r>
      <w:r w:rsidR="006E4C78">
        <w:rPr>
          <w:lang w:val="en-GB"/>
        </w:rPr>
        <w:t>h</w:t>
      </w:r>
      <w:r w:rsidRPr="00E753F0">
        <w:rPr>
          <w:szCs w:val="22"/>
          <w:lang w:val="en-GB"/>
        </w:rPr>
        <w:t xml:space="preserve">e same procedures as today will also allow </w:t>
      </w:r>
      <w:proofErr w:type="gramStart"/>
      <w:r w:rsidRPr="00E753F0">
        <w:rPr>
          <w:szCs w:val="22"/>
          <w:lang w:val="en-GB"/>
        </w:rPr>
        <w:t>to comply</w:t>
      </w:r>
      <w:proofErr w:type="gramEnd"/>
      <w:r w:rsidRPr="00E753F0">
        <w:rPr>
          <w:szCs w:val="22"/>
          <w:lang w:val="en-GB"/>
        </w:rPr>
        <w:t xml:space="preserve"> with the new drafting</w:t>
      </w:r>
      <w:r w:rsidR="006E4C78">
        <w:rPr>
          <w:szCs w:val="22"/>
          <w:lang w:val="en-GB"/>
        </w:rPr>
        <w:t>.</w:t>
      </w:r>
    </w:p>
    <w:p w14:paraId="287D304C" w14:textId="75D58539" w:rsidR="00E753F0" w:rsidRDefault="00E753F0" w:rsidP="00E01A3B">
      <w:pPr>
        <w:numPr>
          <w:ilvl w:val="1"/>
          <w:numId w:val="10"/>
        </w:numPr>
        <w:autoSpaceDE w:val="0"/>
        <w:autoSpaceDN w:val="0"/>
        <w:adjustRightInd w:val="0"/>
        <w:spacing w:line="276" w:lineRule="auto"/>
        <w:jc w:val="both"/>
        <w:rPr>
          <w:lang w:val="en-GB"/>
        </w:rPr>
      </w:pPr>
      <w:r>
        <w:rPr>
          <w:lang w:val="en-GB"/>
        </w:rPr>
        <w:t xml:space="preserve">Impact of not amending: the </w:t>
      </w:r>
      <w:r w:rsidRPr="00E753F0">
        <w:rPr>
          <w:i/>
          <w:lang w:val="en-GB"/>
        </w:rPr>
        <w:t>status quo</w:t>
      </w:r>
      <w:r>
        <w:rPr>
          <w:lang w:val="en-GB"/>
        </w:rPr>
        <w:t xml:space="preserve"> is maintained but for undertakings</w:t>
      </w:r>
      <w:r w:rsidR="00C83FD2">
        <w:rPr>
          <w:lang w:val="en-GB"/>
        </w:rPr>
        <w:t xml:space="preserve"> even if </w:t>
      </w:r>
      <w:r w:rsidR="00470D13">
        <w:rPr>
          <w:lang w:val="en-GB"/>
        </w:rPr>
        <w:t xml:space="preserve">the </w:t>
      </w:r>
      <w:r w:rsidR="00C83FD2">
        <w:rPr>
          <w:lang w:val="en-GB"/>
        </w:rPr>
        <w:t xml:space="preserve">current </w:t>
      </w:r>
      <w:r>
        <w:rPr>
          <w:lang w:val="en-GB"/>
        </w:rPr>
        <w:t xml:space="preserve">requirement </w:t>
      </w:r>
      <w:r w:rsidR="00470D13">
        <w:rPr>
          <w:lang w:val="en-GB"/>
        </w:rPr>
        <w:t>has been</w:t>
      </w:r>
      <w:r w:rsidRPr="005719FA">
        <w:rPr>
          <w:lang w:val="en-GB"/>
        </w:rPr>
        <w:t xml:space="preserve"> identified as extremely burdensome to implement</w:t>
      </w:r>
      <w:r>
        <w:rPr>
          <w:lang w:val="en-GB"/>
        </w:rPr>
        <w:t>.</w:t>
      </w:r>
    </w:p>
    <w:p w14:paraId="356D1416" w14:textId="77777777" w:rsidR="00E753F0" w:rsidRPr="005719FA" w:rsidRDefault="00E753F0" w:rsidP="00E753F0">
      <w:pPr>
        <w:autoSpaceDE w:val="0"/>
        <w:autoSpaceDN w:val="0"/>
        <w:adjustRightInd w:val="0"/>
        <w:spacing w:line="276" w:lineRule="auto"/>
        <w:jc w:val="both"/>
        <w:rPr>
          <w:lang w:val="en-GB"/>
        </w:rPr>
      </w:pPr>
      <w:r>
        <w:rPr>
          <w:lang w:val="en-GB"/>
        </w:rPr>
        <w:t xml:space="preserve">Detailed examples and concerns:  </w:t>
      </w:r>
    </w:p>
    <w:p w14:paraId="4EF2A67A" w14:textId="77777777" w:rsidR="00E753F0" w:rsidRPr="005719FA" w:rsidRDefault="00E753F0" w:rsidP="00741B29">
      <w:pPr>
        <w:ind w:left="709"/>
        <w:jc w:val="both"/>
        <w:rPr>
          <w:rStyle w:val="Regular"/>
          <w:lang w:val="en-GB"/>
        </w:rPr>
      </w:pPr>
      <w:r w:rsidRPr="005719FA">
        <w:rPr>
          <w:rStyle w:val="Regular"/>
          <w:lang w:val="en-GB"/>
        </w:rPr>
        <w:t xml:space="preserve">Example: A fund that represents for example 1% of the CIU portfolio (fund A) will have to </w:t>
      </w:r>
      <w:proofErr w:type="gramStart"/>
      <w:r w:rsidRPr="005719FA">
        <w:rPr>
          <w:rStyle w:val="Regular"/>
          <w:lang w:val="en-GB"/>
        </w:rPr>
        <w:t>be looked through</w:t>
      </w:r>
      <w:proofErr w:type="gramEnd"/>
      <w:r w:rsidRPr="005719FA">
        <w:rPr>
          <w:rStyle w:val="Regular"/>
          <w:lang w:val="en-GB"/>
        </w:rPr>
        <w:t xml:space="preserve"> by country up until 90% of the fund, i.e. only 10% of the fund corresponding to 0.1% of the CIU portfolio is covered by the materiality criteria. </w:t>
      </w:r>
    </w:p>
    <w:p w14:paraId="4DE97DA5" w14:textId="77777777" w:rsidR="00E753F0" w:rsidRPr="00B2763E" w:rsidRDefault="00E753F0" w:rsidP="00741B29">
      <w:pPr>
        <w:ind w:left="709"/>
        <w:jc w:val="both"/>
        <w:rPr>
          <w:lang w:val="en-GB"/>
        </w:rPr>
      </w:pPr>
      <w:r w:rsidRPr="00B2763E">
        <w:rPr>
          <w:lang w:val="en-GB"/>
        </w:rPr>
        <w:t xml:space="preserve">From a prudential </w:t>
      </w:r>
      <w:proofErr w:type="gramStart"/>
      <w:r w:rsidRPr="00B2763E">
        <w:rPr>
          <w:lang w:val="en-GB"/>
        </w:rPr>
        <w:t>perspective</w:t>
      </w:r>
      <w:proofErr w:type="gramEnd"/>
      <w:r w:rsidRPr="00B2763E">
        <w:rPr>
          <w:lang w:val="en-GB"/>
        </w:rPr>
        <w:t xml:space="preserve"> the relevance is in the total amount looked or not looked through. It makes sense that from the total CIU portfolio, 90% of the value </w:t>
      </w:r>
      <w:proofErr w:type="gramStart"/>
      <w:r w:rsidRPr="00B2763E">
        <w:rPr>
          <w:lang w:val="en-GB"/>
        </w:rPr>
        <w:t>is identified</w:t>
      </w:r>
      <w:proofErr w:type="gramEnd"/>
      <w:r w:rsidRPr="00B2763E">
        <w:rPr>
          <w:lang w:val="en-GB"/>
        </w:rPr>
        <w:t xml:space="preserve"> by country. With the new approach proposed a </w:t>
      </w:r>
      <w:proofErr w:type="gramStart"/>
      <w:r w:rsidRPr="00B2763E">
        <w:rPr>
          <w:lang w:val="en-GB"/>
        </w:rPr>
        <w:t>fund</w:t>
      </w:r>
      <w:proofErr w:type="gramEnd"/>
      <w:r w:rsidRPr="00B2763E">
        <w:rPr>
          <w:lang w:val="en-GB"/>
        </w:rPr>
        <w:t xml:space="preserve"> representing 10% (Fund B) might have to be looked through for almost 100% of the fund but the one representing 1% would not need any look-through by country. Comparing the situations if we apply the Instructions as they are now, 10% of fund B (representing also 1%) of CIU portfolio does not have to be looked through while Fund A needs to be looked through until a value that represents 0.1% of the CIU portfolio even if it has the same materiality, i.e. 1%.</w:t>
      </w:r>
    </w:p>
    <w:p w14:paraId="11860F4A" w14:textId="20317820" w:rsidR="00E753F0" w:rsidRPr="00B2763E" w:rsidRDefault="00E753F0" w:rsidP="00741B29">
      <w:pPr>
        <w:ind w:left="709"/>
        <w:jc w:val="both"/>
        <w:rPr>
          <w:lang w:val="en-GB"/>
        </w:rPr>
      </w:pPr>
      <w:r w:rsidRPr="00B2763E">
        <w:rPr>
          <w:lang w:val="en-GB"/>
        </w:rPr>
        <w:t>Some concerns based on the following reasons/examples:</w:t>
      </w:r>
    </w:p>
    <w:p w14:paraId="5F055662" w14:textId="6055B3DA" w:rsidR="00E753F0" w:rsidRPr="003B77E7" w:rsidRDefault="00E753F0" w:rsidP="00E01A3B">
      <w:pPr>
        <w:pStyle w:val="CommentText"/>
        <w:numPr>
          <w:ilvl w:val="0"/>
          <w:numId w:val="14"/>
        </w:numPr>
        <w:spacing w:after="0"/>
        <w:ind w:left="1701"/>
        <w:rPr>
          <w:sz w:val="22"/>
          <w:szCs w:val="22"/>
        </w:rPr>
      </w:pPr>
      <w:r w:rsidRPr="003B77E7">
        <w:rPr>
          <w:sz w:val="22"/>
          <w:szCs w:val="22"/>
        </w:rPr>
        <w:t>It should be highlighted that depending on the split of each CIU by country and of the weight of each CIU in the sum of all CIUs, with this proposed change some funds may not be subject to any look-through, while the original drafting assures that every CIU is subject to look-through</w:t>
      </w:r>
      <w:r>
        <w:rPr>
          <w:sz w:val="22"/>
          <w:szCs w:val="22"/>
        </w:rPr>
        <w:t>;</w:t>
      </w:r>
    </w:p>
    <w:p w14:paraId="6ACFD8E6" w14:textId="64F17D44" w:rsidR="00E753F0" w:rsidRPr="003B77E7" w:rsidRDefault="00E753F0" w:rsidP="00E01A3B">
      <w:pPr>
        <w:pStyle w:val="CommentText"/>
        <w:numPr>
          <w:ilvl w:val="0"/>
          <w:numId w:val="14"/>
        </w:numPr>
        <w:spacing w:after="0"/>
        <w:ind w:left="1701"/>
        <w:rPr>
          <w:sz w:val="22"/>
          <w:szCs w:val="22"/>
        </w:rPr>
      </w:pPr>
      <w:r w:rsidRPr="003B77E7">
        <w:rPr>
          <w:sz w:val="22"/>
          <w:szCs w:val="22"/>
        </w:rPr>
        <w:t>It has an impact on how the undertaking performs the look-through now. It is a change in the rule to decide which CIU to report.</w:t>
      </w:r>
      <w:r>
        <w:rPr>
          <w:sz w:val="22"/>
          <w:szCs w:val="22"/>
        </w:rPr>
        <w:t xml:space="preserve"> </w:t>
      </w:r>
    </w:p>
    <w:p w14:paraId="0049288D" w14:textId="77777777" w:rsidR="00741B29" w:rsidRDefault="00E753F0" w:rsidP="00E01A3B">
      <w:pPr>
        <w:pStyle w:val="CommentText"/>
        <w:numPr>
          <w:ilvl w:val="0"/>
          <w:numId w:val="14"/>
        </w:numPr>
        <w:spacing w:after="0"/>
        <w:ind w:left="1701"/>
        <w:rPr>
          <w:sz w:val="22"/>
          <w:szCs w:val="22"/>
        </w:rPr>
      </w:pPr>
      <w:r>
        <w:rPr>
          <w:sz w:val="22"/>
          <w:szCs w:val="22"/>
        </w:rPr>
        <w:t>Question if corrections would be in</w:t>
      </w:r>
      <w:r w:rsidRPr="003B77E7">
        <w:rPr>
          <w:sz w:val="22"/>
          <w:szCs w:val="22"/>
        </w:rPr>
        <w:t xml:space="preserve"> line with SCR calculation requirements</w:t>
      </w:r>
      <w:r>
        <w:rPr>
          <w:sz w:val="22"/>
          <w:szCs w:val="22"/>
        </w:rPr>
        <w:t xml:space="preserve">. </w:t>
      </w:r>
      <w:r w:rsidRPr="00E829D3">
        <w:rPr>
          <w:sz w:val="22"/>
          <w:szCs w:val="22"/>
        </w:rPr>
        <w:t>If it seems ok on a reporting basis, this change could have high impact if interpreted as potential change to capital requirements calculations</w:t>
      </w:r>
      <w:r>
        <w:rPr>
          <w:sz w:val="22"/>
          <w:szCs w:val="22"/>
        </w:rPr>
        <w:t xml:space="preserve">. </w:t>
      </w:r>
    </w:p>
    <w:p w14:paraId="799BF231" w14:textId="32077B8D" w:rsidR="00E753F0" w:rsidRPr="003B77E7" w:rsidRDefault="00E753F0" w:rsidP="00E01A3B">
      <w:pPr>
        <w:pStyle w:val="CommentText"/>
        <w:numPr>
          <w:ilvl w:val="0"/>
          <w:numId w:val="14"/>
        </w:numPr>
        <w:spacing w:after="0"/>
        <w:ind w:left="1701"/>
        <w:rPr>
          <w:sz w:val="22"/>
          <w:szCs w:val="22"/>
        </w:rPr>
      </w:pPr>
      <w:r w:rsidRPr="003B77E7">
        <w:rPr>
          <w:sz w:val="22"/>
          <w:szCs w:val="22"/>
        </w:rPr>
        <w:t xml:space="preserve">It is a </w:t>
      </w:r>
      <w:proofErr w:type="gramStart"/>
      <w:r w:rsidRPr="003B77E7">
        <w:rPr>
          <w:sz w:val="22"/>
          <w:szCs w:val="22"/>
        </w:rPr>
        <w:t>total</w:t>
      </w:r>
      <w:r>
        <w:rPr>
          <w:sz w:val="22"/>
          <w:szCs w:val="22"/>
        </w:rPr>
        <w:t>ly</w:t>
      </w:r>
      <w:proofErr w:type="gramEnd"/>
      <w:r w:rsidRPr="003B77E7">
        <w:rPr>
          <w:sz w:val="22"/>
          <w:szCs w:val="22"/>
        </w:rPr>
        <w:t xml:space="preserve"> different template when changing this. 90% of all funds mean</w:t>
      </w:r>
      <w:r>
        <w:rPr>
          <w:sz w:val="22"/>
          <w:szCs w:val="22"/>
        </w:rPr>
        <w:t>s</w:t>
      </w:r>
      <w:r w:rsidRPr="003B77E7">
        <w:rPr>
          <w:sz w:val="22"/>
          <w:szCs w:val="22"/>
        </w:rPr>
        <w:t xml:space="preserve">: </w:t>
      </w:r>
    </w:p>
    <w:p w14:paraId="6EA747EB" w14:textId="77777777" w:rsidR="00E753F0" w:rsidRPr="003B77E7" w:rsidRDefault="00E753F0" w:rsidP="00E01A3B">
      <w:pPr>
        <w:pStyle w:val="CommentText"/>
        <w:numPr>
          <w:ilvl w:val="2"/>
          <w:numId w:val="14"/>
        </w:numPr>
        <w:spacing w:after="0"/>
        <w:rPr>
          <w:sz w:val="22"/>
          <w:szCs w:val="22"/>
        </w:rPr>
      </w:pPr>
      <w:r w:rsidRPr="003B77E7">
        <w:rPr>
          <w:sz w:val="22"/>
          <w:szCs w:val="22"/>
        </w:rPr>
        <w:t>Unit/Index-linked funds are included. Depending on the size of this business it can fudge the risk of the ov</w:t>
      </w:r>
      <w:r w:rsidRPr="00C655D3">
        <w:rPr>
          <w:sz w:val="22"/>
          <w:szCs w:val="22"/>
        </w:rPr>
        <w:t>erall investments made in funds</w:t>
      </w:r>
      <w:r>
        <w:rPr>
          <w:sz w:val="22"/>
          <w:szCs w:val="22"/>
        </w:rPr>
        <w:t>;</w:t>
      </w:r>
      <w:r w:rsidRPr="003B77E7">
        <w:rPr>
          <w:sz w:val="22"/>
          <w:szCs w:val="22"/>
        </w:rPr>
        <w:t xml:space="preserve"> </w:t>
      </w:r>
    </w:p>
    <w:p w14:paraId="227F07F8" w14:textId="77777777" w:rsidR="00E753F0" w:rsidRPr="003B77E7" w:rsidRDefault="00E753F0" w:rsidP="00E01A3B">
      <w:pPr>
        <w:pStyle w:val="CommentText"/>
        <w:numPr>
          <w:ilvl w:val="2"/>
          <w:numId w:val="14"/>
        </w:numPr>
        <w:spacing w:after="0"/>
        <w:rPr>
          <w:sz w:val="22"/>
          <w:szCs w:val="22"/>
        </w:rPr>
      </w:pPr>
      <w:r w:rsidRPr="003B77E7">
        <w:rPr>
          <w:sz w:val="22"/>
          <w:szCs w:val="22"/>
        </w:rPr>
        <w:t xml:space="preserve">No information about the risk of the insurance owned funds </w:t>
      </w:r>
      <w:r>
        <w:rPr>
          <w:sz w:val="22"/>
          <w:szCs w:val="22"/>
        </w:rPr>
        <w:t>(until 10% of the total of CIU);</w:t>
      </w:r>
    </w:p>
    <w:p w14:paraId="7E6189D6" w14:textId="14BF74D5" w:rsidR="00E753F0" w:rsidRPr="003B77E7" w:rsidRDefault="00E753F0" w:rsidP="00E01A3B">
      <w:pPr>
        <w:pStyle w:val="CommentText"/>
        <w:numPr>
          <w:ilvl w:val="2"/>
          <w:numId w:val="14"/>
        </w:numPr>
        <w:spacing w:after="0"/>
        <w:rPr>
          <w:sz w:val="22"/>
          <w:szCs w:val="22"/>
        </w:rPr>
      </w:pPr>
      <w:r w:rsidRPr="003B77E7">
        <w:rPr>
          <w:sz w:val="22"/>
          <w:szCs w:val="22"/>
        </w:rPr>
        <w:t xml:space="preserve">No information </w:t>
      </w:r>
      <w:proofErr w:type="gramStart"/>
      <w:r w:rsidRPr="003B77E7">
        <w:rPr>
          <w:sz w:val="22"/>
          <w:szCs w:val="22"/>
        </w:rPr>
        <w:t>about a single funds</w:t>
      </w:r>
      <w:proofErr w:type="gramEnd"/>
      <w:r w:rsidR="00741B29">
        <w:rPr>
          <w:sz w:val="22"/>
          <w:szCs w:val="22"/>
        </w:rPr>
        <w:t>.</w:t>
      </w:r>
    </w:p>
    <w:p w14:paraId="7227A4FC" w14:textId="77777777" w:rsidR="00EE1105" w:rsidRDefault="00EE1105" w:rsidP="00EE1105">
      <w:pPr>
        <w:pStyle w:val="Bulletpoints1"/>
        <w:numPr>
          <w:ilvl w:val="0"/>
          <w:numId w:val="0"/>
        </w:numPr>
        <w:ind w:left="1134"/>
      </w:pPr>
    </w:p>
    <w:p w14:paraId="7BB04B2E" w14:textId="15395669" w:rsidR="00E753F0" w:rsidRPr="008B40E9" w:rsidRDefault="00E753F0" w:rsidP="00E753F0">
      <w:pPr>
        <w:pStyle w:val="Bulletpoints1"/>
        <w:numPr>
          <w:ilvl w:val="0"/>
          <w:numId w:val="0"/>
        </w:numPr>
        <w:ind w:left="709" w:hanging="709"/>
        <w:rPr>
          <w:b/>
        </w:rPr>
      </w:pPr>
      <w:r w:rsidRPr="008B40E9">
        <w:rPr>
          <w:b/>
        </w:rPr>
        <w:t xml:space="preserve">e.2) </w:t>
      </w:r>
      <w:r w:rsidRPr="008B40E9">
        <w:rPr>
          <w:b/>
        </w:rPr>
        <w:tab/>
        <w:t>Look-through by category of investments:</w:t>
      </w:r>
    </w:p>
    <w:p w14:paraId="11657117" w14:textId="77777777" w:rsidR="00E753F0" w:rsidRDefault="00E753F0" w:rsidP="00EE1105">
      <w:pPr>
        <w:pStyle w:val="Bulletpoints1"/>
        <w:numPr>
          <w:ilvl w:val="0"/>
          <w:numId w:val="0"/>
        </w:numPr>
        <w:ind w:left="1134"/>
      </w:pPr>
    </w:p>
    <w:p w14:paraId="75F1392D" w14:textId="77777777" w:rsidR="00EE1105" w:rsidRPr="00E753F0" w:rsidRDefault="00EE1105" w:rsidP="00E01A3B">
      <w:pPr>
        <w:numPr>
          <w:ilvl w:val="1"/>
          <w:numId w:val="10"/>
        </w:numPr>
        <w:autoSpaceDE w:val="0"/>
        <w:autoSpaceDN w:val="0"/>
        <w:adjustRightInd w:val="0"/>
        <w:spacing w:line="276" w:lineRule="auto"/>
        <w:jc w:val="both"/>
        <w:rPr>
          <w:lang w:val="en-GB"/>
        </w:rPr>
      </w:pPr>
      <w:r w:rsidRPr="00E753F0">
        <w:rPr>
          <w:lang w:val="en-GB"/>
        </w:rPr>
        <w:t xml:space="preserve">Current drafting only allows the application of the materiality principle to funds-of-funds on the look-through by type of categories of investments. </w:t>
      </w:r>
    </w:p>
    <w:p w14:paraId="422B6743" w14:textId="4847AB12" w:rsidR="00EE1105" w:rsidRPr="00E753F0" w:rsidRDefault="00EE1105" w:rsidP="00E01A3B">
      <w:pPr>
        <w:numPr>
          <w:ilvl w:val="1"/>
          <w:numId w:val="10"/>
        </w:numPr>
        <w:autoSpaceDE w:val="0"/>
        <w:autoSpaceDN w:val="0"/>
        <w:adjustRightInd w:val="0"/>
        <w:spacing w:line="276" w:lineRule="auto"/>
        <w:jc w:val="both"/>
        <w:rPr>
          <w:lang w:val="en-GB"/>
        </w:rPr>
      </w:pPr>
      <w:r w:rsidRPr="00E753F0">
        <w:rPr>
          <w:lang w:val="en-GB"/>
        </w:rPr>
        <w:t xml:space="preserve">The proposed correction aims to allow for the application of the materiality principle considering only the materiality of the amount, regardless of the type of fund. </w:t>
      </w:r>
      <w:r w:rsidR="00E753F0">
        <w:rPr>
          <w:lang w:val="en-GB"/>
        </w:rPr>
        <w:t>I</w:t>
      </w:r>
      <w:r w:rsidRPr="00E753F0">
        <w:rPr>
          <w:lang w:val="en-GB"/>
        </w:rPr>
        <w:t xml:space="preserve">t </w:t>
      </w:r>
      <w:proofErr w:type="gramStart"/>
      <w:r w:rsidR="00E753F0">
        <w:rPr>
          <w:lang w:val="en-GB"/>
        </w:rPr>
        <w:t xml:space="preserve">may </w:t>
      </w:r>
      <w:r w:rsidRPr="00E753F0">
        <w:rPr>
          <w:lang w:val="en-GB"/>
        </w:rPr>
        <w:t xml:space="preserve">not </w:t>
      </w:r>
      <w:r w:rsidR="00E753F0">
        <w:rPr>
          <w:lang w:val="en-GB"/>
        </w:rPr>
        <w:t>be considered</w:t>
      </w:r>
      <w:proofErr w:type="gramEnd"/>
      <w:r w:rsidR="00E753F0">
        <w:rPr>
          <w:lang w:val="en-GB"/>
        </w:rPr>
        <w:t xml:space="preserve"> </w:t>
      </w:r>
      <w:r w:rsidRPr="00E753F0">
        <w:rPr>
          <w:lang w:val="en-GB"/>
        </w:rPr>
        <w:t xml:space="preserve">justifiable from a prudential perspective that a fund that is not a fund-of-fund is subject to disproportionate materiality considerations (substance over form). </w:t>
      </w:r>
    </w:p>
    <w:p w14:paraId="311D8E73" w14:textId="78474929" w:rsidR="00741B29" w:rsidRDefault="00741B29" w:rsidP="00E01A3B">
      <w:pPr>
        <w:numPr>
          <w:ilvl w:val="1"/>
          <w:numId w:val="10"/>
        </w:numPr>
        <w:autoSpaceDE w:val="0"/>
        <w:autoSpaceDN w:val="0"/>
        <w:adjustRightInd w:val="0"/>
        <w:spacing w:line="276" w:lineRule="auto"/>
        <w:jc w:val="both"/>
        <w:rPr>
          <w:lang w:val="en-GB"/>
        </w:rPr>
      </w:pPr>
      <w:r w:rsidRPr="00947488">
        <w:rPr>
          <w:lang w:val="en-GB"/>
        </w:rPr>
        <w:t>Impact of amendment:</w:t>
      </w:r>
      <w:r>
        <w:rPr>
          <w:lang w:val="en-GB"/>
        </w:rPr>
        <w:t xml:space="preserve"> for undertakings, previous requirement </w:t>
      </w:r>
      <w:proofErr w:type="gramStart"/>
      <w:r>
        <w:rPr>
          <w:lang w:val="en-GB"/>
        </w:rPr>
        <w:t>was</w:t>
      </w:r>
      <w:r w:rsidRPr="005719FA">
        <w:rPr>
          <w:lang w:val="en-GB"/>
        </w:rPr>
        <w:t xml:space="preserve"> identified</w:t>
      </w:r>
      <w:proofErr w:type="gramEnd"/>
      <w:r w:rsidRPr="005719FA">
        <w:rPr>
          <w:lang w:val="en-GB"/>
        </w:rPr>
        <w:t xml:space="preserve"> as extremely burdensome to implement</w:t>
      </w:r>
      <w:r>
        <w:rPr>
          <w:lang w:val="en-GB"/>
        </w:rPr>
        <w:t xml:space="preserve"> and from prudential perspective may not be justifiable. </w:t>
      </w:r>
      <w:proofErr w:type="gramStart"/>
      <w:r>
        <w:rPr>
          <w:lang w:val="en-GB"/>
        </w:rPr>
        <w:t>Should be noted</w:t>
      </w:r>
      <w:proofErr w:type="gramEnd"/>
      <w:r>
        <w:rPr>
          <w:lang w:val="en-GB"/>
        </w:rPr>
        <w:t xml:space="preserve"> that </w:t>
      </w:r>
      <w:r w:rsidR="00654DAD">
        <w:rPr>
          <w:lang w:val="en-GB"/>
        </w:rPr>
        <w:t xml:space="preserve">for </w:t>
      </w:r>
      <w:r>
        <w:rPr>
          <w:lang w:val="en-GB"/>
        </w:rPr>
        <w:t>undertakings that wish not to change procedures, th</w:t>
      </w:r>
      <w:r w:rsidRPr="00E753F0">
        <w:rPr>
          <w:szCs w:val="22"/>
          <w:lang w:val="en-GB"/>
        </w:rPr>
        <w:t>e same procedures as today will also allow to comply with the new drafting</w:t>
      </w:r>
      <w:r>
        <w:rPr>
          <w:szCs w:val="22"/>
          <w:lang w:val="en-GB"/>
        </w:rPr>
        <w:t>.</w:t>
      </w:r>
    </w:p>
    <w:p w14:paraId="55EEA95E" w14:textId="06A3136A" w:rsidR="00741B29" w:rsidRDefault="00741B29" w:rsidP="00E01A3B">
      <w:pPr>
        <w:numPr>
          <w:ilvl w:val="1"/>
          <w:numId w:val="10"/>
        </w:numPr>
        <w:autoSpaceDE w:val="0"/>
        <w:autoSpaceDN w:val="0"/>
        <w:adjustRightInd w:val="0"/>
        <w:spacing w:line="276" w:lineRule="auto"/>
        <w:jc w:val="both"/>
        <w:rPr>
          <w:lang w:val="en-GB"/>
        </w:rPr>
      </w:pPr>
      <w:r>
        <w:rPr>
          <w:lang w:val="en-GB"/>
        </w:rPr>
        <w:t xml:space="preserve">Impact of not amending: the </w:t>
      </w:r>
      <w:r w:rsidRPr="00E753F0">
        <w:rPr>
          <w:i/>
          <w:lang w:val="en-GB"/>
        </w:rPr>
        <w:t>status quo</w:t>
      </w:r>
      <w:r>
        <w:rPr>
          <w:lang w:val="en-GB"/>
        </w:rPr>
        <w:t xml:space="preserve"> is maintained but for undertakings, </w:t>
      </w:r>
      <w:r w:rsidR="00470D13">
        <w:rPr>
          <w:lang w:val="en-GB"/>
        </w:rPr>
        <w:t xml:space="preserve">even if the </w:t>
      </w:r>
      <w:r w:rsidR="00654DAD">
        <w:rPr>
          <w:lang w:val="en-GB"/>
        </w:rPr>
        <w:t xml:space="preserve">current </w:t>
      </w:r>
      <w:r>
        <w:rPr>
          <w:lang w:val="en-GB"/>
        </w:rPr>
        <w:t xml:space="preserve">requirement </w:t>
      </w:r>
      <w:r w:rsidR="00470D13">
        <w:rPr>
          <w:lang w:val="en-GB"/>
        </w:rPr>
        <w:t>h</w:t>
      </w:r>
      <w:r>
        <w:rPr>
          <w:lang w:val="en-GB"/>
        </w:rPr>
        <w:t>as</w:t>
      </w:r>
      <w:r w:rsidR="00470D13">
        <w:rPr>
          <w:lang w:val="en-GB"/>
        </w:rPr>
        <w:t xml:space="preserve"> been</w:t>
      </w:r>
      <w:r w:rsidRPr="005719FA">
        <w:rPr>
          <w:lang w:val="en-GB"/>
        </w:rPr>
        <w:t xml:space="preserve"> identified as extremely burdensome to implement</w:t>
      </w:r>
      <w:r>
        <w:rPr>
          <w:lang w:val="en-GB"/>
        </w:rPr>
        <w:t>.</w:t>
      </w:r>
    </w:p>
    <w:p w14:paraId="378E8936" w14:textId="77777777" w:rsidR="00741B29" w:rsidRPr="00741B29" w:rsidRDefault="00741B29" w:rsidP="00741B29">
      <w:pPr>
        <w:autoSpaceDE w:val="0"/>
        <w:autoSpaceDN w:val="0"/>
        <w:adjustRightInd w:val="0"/>
        <w:spacing w:line="276" w:lineRule="auto"/>
        <w:jc w:val="both"/>
        <w:rPr>
          <w:lang w:val="en-GB"/>
        </w:rPr>
      </w:pPr>
      <w:r w:rsidRPr="00C41B56">
        <w:rPr>
          <w:lang w:val="en-GB"/>
        </w:rPr>
        <w:t>Detailed examples and concerns:</w:t>
      </w:r>
      <w:r w:rsidRPr="00741B29">
        <w:rPr>
          <w:lang w:val="en-GB"/>
        </w:rPr>
        <w:t xml:space="preserve">  </w:t>
      </w:r>
    </w:p>
    <w:p w14:paraId="48ABBEED" w14:textId="77777777" w:rsidR="00EE1105" w:rsidRPr="00B2763E" w:rsidRDefault="00EE1105" w:rsidP="00C41B56">
      <w:pPr>
        <w:ind w:left="709"/>
        <w:jc w:val="both"/>
        <w:rPr>
          <w:rStyle w:val="Regular"/>
          <w:lang w:val="en-GB"/>
        </w:rPr>
      </w:pPr>
      <w:r w:rsidRPr="00B2763E">
        <w:rPr>
          <w:rStyle w:val="Regular"/>
          <w:lang w:val="en-GB"/>
        </w:rPr>
        <w:t>Example: Similar to the issue above if we have a fund-of-fund where the amount still not looked-through has a residual value, category 4 (CIU) could be used, however, if we have a fund with the same residual value but that is not a fund-of-fund it will need to be looked through (use of category 4 CIU is not allowed).</w:t>
      </w:r>
    </w:p>
    <w:p w14:paraId="7FC856AC" w14:textId="5F352C81" w:rsidR="00EE1105" w:rsidRPr="00B2763E" w:rsidRDefault="00EE1105" w:rsidP="00C41B56">
      <w:pPr>
        <w:ind w:left="709"/>
        <w:rPr>
          <w:lang w:val="en-GB"/>
        </w:rPr>
      </w:pPr>
      <w:r w:rsidRPr="00B2763E">
        <w:rPr>
          <w:lang w:val="en-GB"/>
        </w:rPr>
        <w:t>Some concerns based on the following reasons/examples:</w:t>
      </w:r>
    </w:p>
    <w:p w14:paraId="43B1F6C0" w14:textId="1301AA1A" w:rsidR="00EE1105" w:rsidRPr="003B77E7" w:rsidRDefault="00EE1105" w:rsidP="00E01A3B">
      <w:pPr>
        <w:pStyle w:val="CommentText"/>
        <w:numPr>
          <w:ilvl w:val="0"/>
          <w:numId w:val="14"/>
        </w:numPr>
        <w:spacing w:after="0"/>
        <w:ind w:left="1701"/>
        <w:rPr>
          <w:sz w:val="22"/>
          <w:szCs w:val="22"/>
        </w:rPr>
      </w:pPr>
      <w:r w:rsidRPr="003B77E7">
        <w:rPr>
          <w:sz w:val="22"/>
          <w:szCs w:val="22"/>
        </w:rPr>
        <w:t xml:space="preserve">It </w:t>
      </w:r>
      <w:proofErr w:type="gramStart"/>
      <w:r w:rsidRPr="003B77E7">
        <w:rPr>
          <w:sz w:val="22"/>
          <w:szCs w:val="22"/>
        </w:rPr>
        <w:t>should be noted</w:t>
      </w:r>
      <w:proofErr w:type="gramEnd"/>
      <w:r w:rsidRPr="003B77E7">
        <w:rPr>
          <w:sz w:val="22"/>
          <w:szCs w:val="22"/>
        </w:rPr>
        <w:t xml:space="preserve"> that this contradicts the general comments part. </w:t>
      </w:r>
      <w:proofErr w:type="gramStart"/>
      <w:r w:rsidRPr="003B77E7">
        <w:rPr>
          <w:sz w:val="22"/>
          <w:szCs w:val="22"/>
        </w:rPr>
        <w:t>Also</w:t>
      </w:r>
      <w:proofErr w:type="gramEnd"/>
      <w:r w:rsidRPr="003B77E7">
        <w:rPr>
          <w:sz w:val="22"/>
          <w:szCs w:val="22"/>
        </w:rPr>
        <w:t>, in the various public consultations we always kept the full look-through principle “until the asset categories, countries and currencies are identified</w:t>
      </w:r>
      <w:r w:rsidR="00C41B56">
        <w:rPr>
          <w:sz w:val="22"/>
          <w:szCs w:val="22"/>
        </w:rPr>
        <w:t>”</w:t>
      </w:r>
      <w:r w:rsidRPr="003B77E7">
        <w:rPr>
          <w:sz w:val="22"/>
          <w:szCs w:val="22"/>
        </w:rPr>
        <w:t>. Only one exception for funds of funds, addressing market concerns, was added</w:t>
      </w:r>
      <w:r>
        <w:rPr>
          <w:sz w:val="22"/>
          <w:szCs w:val="22"/>
        </w:rPr>
        <w:t>;</w:t>
      </w:r>
      <w:r w:rsidRPr="003B77E7">
        <w:rPr>
          <w:sz w:val="22"/>
          <w:szCs w:val="22"/>
        </w:rPr>
        <w:t xml:space="preserve"> </w:t>
      </w:r>
    </w:p>
    <w:p w14:paraId="1D53FDBE" w14:textId="41E7590C" w:rsidR="00EE1105" w:rsidRPr="003B77E7" w:rsidRDefault="00EE1105" w:rsidP="00E01A3B">
      <w:pPr>
        <w:pStyle w:val="CommentText"/>
        <w:numPr>
          <w:ilvl w:val="0"/>
          <w:numId w:val="14"/>
        </w:numPr>
        <w:spacing w:after="0"/>
        <w:ind w:left="1701"/>
        <w:rPr>
          <w:sz w:val="22"/>
          <w:szCs w:val="22"/>
        </w:rPr>
      </w:pPr>
      <w:r w:rsidRPr="003B77E7">
        <w:rPr>
          <w:sz w:val="22"/>
          <w:szCs w:val="22"/>
        </w:rPr>
        <w:t xml:space="preserve">It has an impact on how the undertaking performs the look-through now. It is a change in the rule to decide which part of the fund is material, for all CIUs and not just for the funds of funds, for which this rule was originally introduced with the objective of drawing a line </w:t>
      </w:r>
      <w:r w:rsidRPr="005E3188">
        <w:rPr>
          <w:sz w:val="22"/>
          <w:szCs w:val="22"/>
        </w:rPr>
        <w:t>on the depth of the look-though</w:t>
      </w:r>
      <w:r>
        <w:rPr>
          <w:sz w:val="22"/>
          <w:szCs w:val="22"/>
        </w:rPr>
        <w:t>;</w:t>
      </w:r>
    </w:p>
    <w:p w14:paraId="3A3A1B45" w14:textId="0CCA8D25" w:rsidR="00EE1105" w:rsidRPr="009B38FA" w:rsidRDefault="00EE1105" w:rsidP="00E01A3B">
      <w:pPr>
        <w:pStyle w:val="CommentText"/>
        <w:numPr>
          <w:ilvl w:val="0"/>
          <w:numId w:val="14"/>
        </w:numPr>
        <w:spacing w:after="0"/>
        <w:ind w:left="1701"/>
        <w:rPr>
          <w:sz w:val="22"/>
          <w:szCs w:val="22"/>
        </w:rPr>
      </w:pPr>
      <w:r>
        <w:rPr>
          <w:sz w:val="22"/>
          <w:szCs w:val="22"/>
        </w:rPr>
        <w:t>Question if corrections would be in</w:t>
      </w:r>
      <w:r w:rsidRPr="009B38FA">
        <w:rPr>
          <w:sz w:val="22"/>
          <w:szCs w:val="22"/>
        </w:rPr>
        <w:t xml:space="preserve"> line with SCR calculation requirements</w:t>
      </w:r>
      <w:r>
        <w:rPr>
          <w:sz w:val="22"/>
          <w:szCs w:val="22"/>
        </w:rPr>
        <w:t xml:space="preserve">. </w:t>
      </w:r>
      <w:r w:rsidRPr="00E829D3">
        <w:rPr>
          <w:sz w:val="22"/>
          <w:szCs w:val="22"/>
        </w:rPr>
        <w:t>If it seems ok on a reporting basis, this change could have high impact if interpreted as potential change to capital requirements calculations</w:t>
      </w:r>
      <w:r>
        <w:rPr>
          <w:sz w:val="22"/>
          <w:szCs w:val="22"/>
        </w:rPr>
        <w:t>.</w:t>
      </w:r>
    </w:p>
    <w:p w14:paraId="1857E607" w14:textId="77777777" w:rsidR="00EE1105" w:rsidRDefault="00EE1105" w:rsidP="00EE1105">
      <w:pPr>
        <w:pStyle w:val="ListParagraph"/>
        <w:spacing w:after="0"/>
        <w:ind w:left="709"/>
        <w:jc w:val="both"/>
        <w:rPr>
          <w:rStyle w:val="Bold"/>
          <w:lang w:val="en-GB"/>
        </w:rPr>
      </w:pPr>
    </w:p>
    <w:p w14:paraId="289937C1" w14:textId="2483AFD4" w:rsidR="00EE1105" w:rsidRDefault="00EE1105" w:rsidP="00E01A3B">
      <w:pPr>
        <w:pStyle w:val="ListParagraph"/>
        <w:numPr>
          <w:ilvl w:val="0"/>
          <w:numId w:val="16"/>
        </w:numPr>
        <w:spacing w:after="0"/>
        <w:ind w:left="709" w:hanging="709"/>
        <w:jc w:val="both"/>
        <w:rPr>
          <w:rStyle w:val="Bold"/>
          <w:lang w:val="en-GB"/>
        </w:rPr>
      </w:pPr>
      <w:r w:rsidRPr="00EE1105">
        <w:rPr>
          <w:rStyle w:val="Bold"/>
          <w:lang w:val="en-GB"/>
        </w:rPr>
        <w:t xml:space="preserve">Alignment between templates S.12 and S.17 and within templates in relation to amounts of TP after use of </w:t>
      </w:r>
      <w:proofErr w:type="spellStart"/>
      <w:r w:rsidRPr="00EE1105">
        <w:rPr>
          <w:rStyle w:val="Bold"/>
          <w:lang w:val="en-GB"/>
        </w:rPr>
        <w:t>transitionals</w:t>
      </w:r>
      <w:proofErr w:type="spellEnd"/>
      <w:r w:rsidR="003535A2">
        <w:rPr>
          <w:rStyle w:val="Bold"/>
          <w:lang w:val="en-GB"/>
        </w:rPr>
        <w:t xml:space="preserve"> and other measures</w:t>
      </w:r>
    </w:p>
    <w:p w14:paraId="6AFD2437" w14:textId="77777777" w:rsidR="003535A2" w:rsidRPr="00EE1105" w:rsidRDefault="003535A2" w:rsidP="003535A2">
      <w:pPr>
        <w:pStyle w:val="ListParagraph"/>
        <w:spacing w:after="0"/>
        <w:ind w:left="709"/>
        <w:jc w:val="both"/>
        <w:rPr>
          <w:rStyle w:val="Bold"/>
          <w:lang w:val="en-GB"/>
        </w:rPr>
      </w:pPr>
    </w:p>
    <w:p w14:paraId="6F2E1A8F" w14:textId="77777777" w:rsidR="0065678B" w:rsidRDefault="0065678B" w:rsidP="0065678B">
      <w:pPr>
        <w:pStyle w:val="ListParagraph"/>
        <w:spacing w:after="0"/>
        <w:ind w:left="709"/>
        <w:jc w:val="both"/>
        <w:rPr>
          <w:rStyle w:val="Bold"/>
          <w:lang w:val="en-GB"/>
        </w:rPr>
      </w:pPr>
    </w:p>
    <w:p w14:paraId="32270E83" w14:textId="16A7B1BC" w:rsidR="0065678B" w:rsidRDefault="0065678B" w:rsidP="0065678B">
      <w:pPr>
        <w:numPr>
          <w:ilvl w:val="1"/>
          <w:numId w:val="10"/>
        </w:numPr>
        <w:autoSpaceDE w:val="0"/>
        <w:autoSpaceDN w:val="0"/>
        <w:adjustRightInd w:val="0"/>
        <w:spacing w:line="276" w:lineRule="auto"/>
        <w:jc w:val="both"/>
        <w:rPr>
          <w:lang w:val="en-GB"/>
        </w:rPr>
      </w:pPr>
      <w:r w:rsidRPr="0065678B">
        <w:rPr>
          <w:lang w:val="en-GB"/>
        </w:rPr>
        <w:t xml:space="preserve">Following the </w:t>
      </w:r>
      <w:r w:rsidR="00956670" w:rsidRPr="0065678B">
        <w:rPr>
          <w:lang w:val="en-GB"/>
        </w:rPr>
        <w:t>receivable</w:t>
      </w:r>
      <w:r w:rsidRPr="0065678B">
        <w:rPr>
          <w:lang w:val="en-GB"/>
        </w:rPr>
        <w:t xml:space="preserve"> of Q&amp;A 772</w:t>
      </w:r>
      <w:r>
        <w:rPr>
          <w:lang w:val="en-GB"/>
        </w:rPr>
        <w:t xml:space="preserve"> the following answer has been given:</w:t>
      </w:r>
    </w:p>
    <w:p w14:paraId="5B848210" w14:textId="77777777" w:rsidR="0065678B" w:rsidRDefault="0065678B" w:rsidP="0065678B">
      <w:pPr>
        <w:pStyle w:val="ListParagraph"/>
        <w:numPr>
          <w:ilvl w:val="0"/>
          <w:numId w:val="14"/>
        </w:numPr>
        <w:autoSpaceDE w:val="0"/>
        <w:autoSpaceDN w:val="0"/>
        <w:adjustRightInd w:val="0"/>
        <w:spacing w:line="276" w:lineRule="auto"/>
        <w:ind w:left="1276"/>
        <w:jc w:val="both"/>
        <w:rPr>
          <w:rStyle w:val="Bold"/>
          <w:b w:val="0"/>
          <w:lang w:val="en-GB"/>
        </w:rPr>
      </w:pPr>
      <w:r w:rsidRPr="0065678B">
        <w:rPr>
          <w:rStyle w:val="Bold"/>
          <w:b w:val="0"/>
          <w:lang w:val="en-GB"/>
        </w:rPr>
        <w:t xml:space="preserve">In </w:t>
      </w:r>
      <w:r>
        <w:rPr>
          <w:rStyle w:val="Bold"/>
          <w:b w:val="0"/>
          <w:lang w:val="en-GB"/>
        </w:rPr>
        <w:t>S.12.01.</w:t>
      </w:r>
      <w:r w:rsidRPr="0065678B">
        <w:rPr>
          <w:rStyle w:val="Bold"/>
          <w:b w:val="0"/>
          <w:lang w:val="en-GB"/>
        </w:rPr>
        <w:t>R0340 we understand that the drafting is not clear and the different drafting between S.12/S.17 raise doubts</w:t>
      </w:r>
      <w:r>
        <w:rPr>
          <w:rStyle w:val="Bold"/>
          <w:b w:val="0"/>
          <w:lang w:val="en-GB"/>
        </w:rPr>
        <w:t>;</w:t>
      </w:r>
    </w:p>
    <w:p w14:paraId="727CE89D" w14:textId="77777777" w:rsidR="008535DE" w:rsidRDefault="0065678B" w:rsidP="0065678B">
      <w:pPr>
        <w:pStyle w:val="ListParagraph"/>
        <w:numPr>
          <w:ilvl w:val="0"/>
          <w:numId w:val="14"/>
        </w:numPr>
        <w:autoSpaceDE w:val="0"/>
        <w:autoSpaceDN w:val="0"/>
        <w:adjustRightInd w:val="0"/>
        <w:spacing w:line="276" w:lineRule="auto"/>
        <w:ind w:left="1276"/>
        <w:jc w:val="both"/>
        <w:rPr>
          <w:rStyle w:val="Bold"/>
          <w:b w:val="0"/>
          <w:lang w:val="en-GB"/>
        </w:rPr>
      </w:pPr>
      <w:r>
        <w:rPr>
          <w:rStyle w:val="Bold"/>
          <w:b w:val="0"/>
          <w:lang w:val="en-GB"/>
        </w:rPr>
        <w:t xml:space="preserve">EIOPA </w:t>
      </w:r>
      <w:r w:rsidRPr="0065678B">
        <w:rPr>
          <w:rStyle w:val="Bold"/>
          <w:b w:val="0"/>
          <w:lang w:val="en-GB"/>
        </w:rPr>
        <w:t>clarif</w:t>
      </w:r>
      <w:r>
        <w:rPr>
          <w:rStyle w:val="Bold"/>
          <w:b w:val="0"/>
          <w:lang w:val="en-GB"/>
        </w:rPr>
        <w:t>ied</w:t>
      </w:r>
      <w:r w:rsidRPr="0065678B">
        <w:rPr>
          <w:rStyle w:val="Bold"/>
          <w:b w:val="0"/>
          <w:lang w:val="en-GB"/>
        </w:rPr>
        <w:t xml:space="preserve"> that in both S.12 and S.17 what should be reported is the amount of </w:t>
      </w:r>
      <w:r w:rsidR="008535DE">
        <w:rPr>
          <w:rStyle w:val="Bold"/>
          <w:b w:val="0"/>
          <w:lang w:val="en-GB"/>
        </w:rPr>
        <w:t>“</w:t>
      </w:r>
      <w:r w:rsidRPr="0065678B">
        <w:rPr>
          <w:rStyle w:val="Bold"/>
          <w:b w:val="0"/>
          <w:lang w:val="en-GB"/>
        </w:rPr>
        <w:t>Technical provisions without volatility adjustment”</w:t>
      </w:r>
      <w:r w:rsidR="008535DE">
        <w:rPr>
          <w:rStyle w:val="Bold"/>
          <w:b w:val="0"/>
          <w:lang w:val="en-GB"/>
        </w:rPr>
        <w:t xml:space="preserve">; i.e. </w:t>
      </w:r>
      <w:r w:rsidRPr="0065678B">
        <w:rPr>
          <w:rStyle w:val="Bold"/>
          <w:b w:val="0"/>
          <w:lang w:val="en-GB"/>
        </w:rPr>
        <w:t xml:space="preserve">amount </w:t>
      </w:r>
      <w:r w:rsidR="008535DE">
        <w:rPr>
          <w:rStyle w:val="Bold"/>
          <w:b w:val="0"/>
          <w:lang w:val="en-GB"/>
        </w:rPr>
        <w:t xml:space="preserve">of technical provisions </w:t>
      </w:r>
      <w:r w:rsidRPr="0065678B">
        <w:rPr>
          <w:rStyle w:val="Bold"/>
          <w:b w:val="0"/>
          <w:lang w:val="en-GB"/>
        </w:rPr>
        <w:t>to which VA is not applicable + BE of contracts for which VA applied, before the application of VA (assum</w:t>
      </w:r>
      <w:r w:rsidR="008535DE">
        <w:rPr>
          <w:rStyle w:val="Bold"/>
          <w:b w:val="0"/>
          <w:lang w:val="en-GB"/>
        </w:rPr>
        <w:t>ing</w:t>
      </w:r>
      <w:r w:rsidRPr="0065678B">
        <w:rPr>
          <w:rStyle w:val="Bold"/>
          <w:b w:val="0"/>
          <w:lang w:val="en-GB"/>
        </w:rPr>
        <w:t xml:space="preserve"> no other measures) + risk margin</w:t>
      </w:r>
      <w:r w:rsidR="008535DE">
        <w:rPr>
          <w:rStyle w:val="Bold"/>
          <w:b w:val="0"/>
          <w:lang w:val="en-GB"/>
        </w:rPr>
        <w:t>;</w:t>
      </w:r>
    </w:p>
    <w:p w14:paraId="4025FFD2" w14:textId="77777777" w:rsidR="008535DE" w:rsidRDefault="0065678B" w:rsidP="0065678B">
      <w:pPr>
        <w:pStyle w:val="ListParagraph"/>
        <w:numPr>
          <w:ilvl w:val="0"/>
          <w:numId w:val="14"/>
        </w:numPr>
        <w:autoSpaceDE w:val="0"/>
        <w:autoSpaceDN w:val="0"/>
        <w:adjustRightInd w:val="0"/>
        <w:spacing w:line="276" w:lineRule="auto"/>
        <w:ind w:left="1276"/>
        <w:jc w:val="both"/>
        <w:rPr>
          <w:rStyle w:val="Bold"/>
          <w:b w:val="0"/>
          <w:lang w:val="en-GB"/>
        </w:rPr>
      </w:pPr>
      <w:r w:rsidRPr="0065678B">
        <w:rPr>
          <w:rStyle w:val="Bold"/>
          <w:b w:val="0"/>
          <w:lang w:val="en-GB"/>
        </w:rPr>
        <w:t xml:space="preserve">This amount would correspond to the calculations as performed to assess the impact of LTGA (as reported in S.22.01, but by </w:t>
      </w:r>
      <w:proofErr w:type="spellStart"/>
      <w:r w:rsidRPr="0065678B">
        <w:rPr>
          <w:rStyle w:val="Bold"/>
          <w:b w:val="0"/>
          <w:lang w:val="en-GB"/>
        </w:rPr>
        <w:t>LoB</w:t>
      </w:r>
      <w:proofErr w:type="spellEnd"/>
      <w:r w:rsidRPr="0065678B">
        <w:rPr>
          <w:rStyle w:val="Bold"/>
          <w:b w:val="0"/>
          <w:lang w:val="en-GB"/>
        </w:rPr>
        <w:t>).</w:t>
      </w:r>
    </w:p>
    <w:p w14:paraId="4188A070" w14:textId="77777777" w:rsidR="008535DE" w:rsidRPr="00F132DA" w:rsidRDefault="008535DE" w:rsidP="00F132DA">
      <w:pPr>
        <w:numPr>
          <w:ilvl w:val="1"/>
          <w:numId w:val="10"/>
        </w:numPr>
        <w:autoSpaceDE w:val="0"/>
        <w:autoSpaceDN w:val="0"/>
        <w:adjustRightInd w:val="0"/>
        <w:spacing w:line="276" w:lineRule="auto"/>
        <w:jc w:val="both"/>
      </w:pPr>
      <w:r w:rsidRPr="00320F90">
        <w:rPr>
          <w:lang w:val="en-GB"/>
        </w:rPr>
        <w:t xml:space="preserve">Following the Q&amp;A a detailed assessment of relevant rows of S.12.01 and S.17.01 </w:t>
      </w:r>
      <w:proofErr w:type="gramStart"/>
      <w:r w:rsidRPr="00320F90">
        <w:rPr>
          <w:lang w:val="en-GB"/>
        </w:rPr>
        <w:t>was performed</w:t>
      </w:r>
      <w:proofErr w:type="gramEnd"/>
      <w:r w:rsidRPr="00320F90">
        <w:rPr>
          <w:lang w:val="en-GB"/>
        </w:rPr>
        <w:t xml:space="preserve"> and the outcome was the need for further alignment within the same templates for different LTG measures and across templates. </w:t>
      </w:r>
      <w:r w:rsidRPr="00F132DA">
        <w:t xml:space="preserve">The following cells are affected: </w:t>
      </w:r>
    </w:p>
    <w:p w14:paraId="42417FF8" w14:textId="416B2467" w:rsidR="00F132DA" w:rsidRDefault="00F132DA" w:rsidP="00F132DA">
      <w:pPr>
        <w:pStyle w:val="ListParagraph"/>
        <w:numPr>
          <w:ilvl w:val="0"/>
          <w:numId w:val="14"/>
        </w:numPr>
        <w:autoSpaceDE w:val="0"/>
        <w:autoSpaceDN w:val="0"/>
        <w:adjustRightInd w:val="0"/>
        <w:spacing w:line="276" w:lineRule="auto"/>
        <w:ind w:left="1276"/>
        <w:jc w:val="both"/>
        <w:rPr>
          <w:rStyle w:val="Bold"/>
          <w:b w:val="0"/>
          <w:lang w:val="en-GB"/>
        </w:rPr>
      </w:pPr>
      <w:r>
        <w:rPr>
          <w:rStyle w:val="Bold"/>
          <w:b w:val="0"/>
          <w:lang w:val="en-GB"/>
        </w:rPr>
        <w:t>S.12.01.R0320, R0340, R0360</w:t>
      </w:r>
    </w:p>
    <w:p w14:paraId="4660589D" w14:textId="6587DA79" w:rsidR="00F132DA" w:rsidRDefault="00F132DA" w:rsidP="00F132DA">
      <w:pPr>
        <w:pStyle w:val="ListParagraph"/>
        <w:numPr>
          <w:ilvl w:val="0"/>
          <w:numId w:val="14"/>
        </w:numPr>
        <w:autoSpaceDE w:val="0"/>
        <w:autoSpaceDN w:val="0"/>
        <w:adjustRightInd w:val="0"/>
        <w:spacing w:line="276" w:lineRule="auto"/>
        <w:ind w:left="1276"/>
        <w:jc w:val="both"/>
        <w:rPr>
          <w:rStyle w:val="Bold"/>
          <w:b w:val="0"/>
          <w:lang w:val="en-GB"/>
        </w:rPr>
      </w:pPr>
      <w:r>
        <w:rPr>
          <w:rStyle w:val="Bold"/>
          <w:b w:val="0"/>
          <w:lang w:val="en-GB"/>
        </w:rPr>
        <w:t>S.17.01.R0470</w:t>
      </w:r>
    </w:p>
    <w:p w14:paraId="3DE47C91" w14:textId="392C7677" w:rsidR="00F132DA" w:rsidRPr="00F132DA" w:rsidRDefault="00F132DA" w:rsidP="00F132DA">
      <w:pPr>
        <w:numPr>
          <w:ilvl w:val="1"/>
          <w:numId w:val="10"/>
        </w:numPr>
        <w:autoSpaceDE w:val="0"/>
        <w:autoSpaceDN w:val="0"/>
        <w:adjustRightInd w:val="0"/>
        <w:spacing w:line="276" w:lineRule="auto"/>
        <w:jc w:val="both"/>
        <w:rPr>
          <w:lang w:val="en-GB"/>
        </w:rPr>
      </w:pPr>
      <w:r w:rsidRPr="00F132DA">
        <w:rPr>
          <w:lang w:val="en-GB"/>
        </w:rPr>
        <w:t xml:space="preserve">Impact of amendment: </w:t>
      </w:r>
      <w:r>
        <w:rPr>
          <w:lang w:val="en-GB"/>
        </w:rPr>
        <w:t xml:space="preserve">improve consistency and use of the information reported in the different rows. Only undertakings using LTG measures and </w:t>
      </w:r>
      <w:proofErr w:type="spellStart"/>
      <w:r>
        <w:rPr>
          <w:lang w:val="en-GB"/>
        </w:rPr>
        <w:t>transitionals</w:t>
      </w:r>
      <w:proofErr w:type="spellEnd"/>
      <w:r>
        <w:rPr>
          <w:lang w:val="en-GB"/>
        </w:rPr>
        <w:t xml:space="preserve"> </w:t>
      </w:r>
      <w:proofErr w:type="gramStart"/>
      <w:r>
        <w:rPr>
          <w:lang w:val="en-GB"/>
        </w:rPr>
        <w:t>will be affected</w:t>
      </w:r>
      <w:proofErr w:type="gramEnd"/>
      <w:r>
        <w:rPr>
          <w:lang w:val="en-GB"/>
        </w:rPr>
        <w:t xml:space="preserve">. It </w:t>
      </w:r>
      <w:proofErr w:type="gramStart"/>
      <w:r>
        <w:rPr>
          <w:lang w:val="en-GB"/>
        </w:rPr>
        <w:t>should be noted</w:t>
      </w:r>
      <w:proofErr w:type="gramEnd"/>
      <w:r>
        <w:rPr>
          <w:lang w:val="en-GB"/>
        </w:rPr>
        <w:t xml:space="preserve"> that two out of the four rows affected relate to transitional on interest rate which just a few companies are using </w:t>
      </w:r>
      <w:r w:rsidRPr="00F132DA">
        <w:rPr>
          <w:lang w:val="en-GB"/>
        </w:rPr>
        <w:t>for undertakings</w:t>
      </w:r>
      <w:r>
        <w:rPr>
          <w:lang w:val="en-GB"/>
        </w:rPr>
        <w:t xml:space="preserve">. </w:t>
      </w:r>
    </w:p>
    <w:p w14:paraId="6C4C67CD" w14:textId="0F89A536" w:rsidR="00F132DA" w:rsidRDefault="00F132DA" w:rsidP="00F132DA">
      <w:pPr>
        <w:numPr>
          <w:ilvl w:val="1"/>
          <w:numId w:val="10"/>
        </w:numPr>
        <w:autoSpaceDE w:val="0"/>
        <w:autoSpaceDN w:val="0"/>
        <w:adjustRightInd w:val="0"/>
        <w:spacing w:line="276" w:lineRule="auto"/>
        <w:jc w:val="both"/>
        <w:rPr>
          <w:lang w:val="en-GB"/>
        </w:rPr>
      </w:pPr>
      <w:r>
        <w:rPr>
          <w:lang w:val="en-GB"/>
        </w:rPr>
        <w:t xml:space="preserve">Impact of not amending: </w:t>
      </w:r>
      <w:r w:rsidR="00991820">
        <w:rPr>
          <w:lang w:val="en-GB"/>
        </w:rPr>
        <w:t xml:space="preserve">lack of consistency on the information reported affecting the use of the information. </w:t>
      </w:r>
    </w:p>
    <w:p w14:paraId="6E1F8617" w14:textId="16918A52" w:rsidR="0065678B" w:rsidRPr="0065678B" w:rsidRDefault="0065678B" w:rsidP="00F132DA">
      <w:pPr>
        <w:pStyle w:val="ListParagraph"/>
        <w:autoSpaceDE w:val="0"/>
        <w:autoSpaceDN w:val="0"/>
        <w:adjustRightInd w:val="0"/>
        <w:spacing w:line="276" w:lineRule="auto"/>
        <w:jc w:val="both"/>
        <w:rPr>
          <w:rStyle w:val="Bold"/>
          <w:lang w:val="en-GB"/>
        </w:rPr>
      </w:pPr>
    </w:p>
    <w:p w14:paraId="18FCAA40" w14:textId="1F727CE2" w:rsidR="00EE1105" w:rsidRPr="00EE1105" w:rsidRDefault="00EE1105" w:rsidP="00E01A3B">
      <w:pPr>
        <w:pStyle w:val="ListParagraph"/>
        <w:numPr>
          <w:ilvl w:val="0"/>
          <w:numId w:val="16"/>
        </w:numPr>
        <w:spacing w:after="0"/>
        <w:ind w:left="709" w:hanging="709"/>
        <w:jc w:val="both"/>
        <w:rPr>
          <w:rStyle w:val="Bold"/>
          <w:lang w:val="en-GB"/>
        </w:rPr>
      </w:pPr>
      <w:r w:rsidRPr="00EE1105">
        <w:rPr>
          <w:rStyle w:val="Bold"/>
          <w:lang w:val="en-GB"/>
        </w:rPr>
        <w:t>Consideration of accumulated amounts in S.21.01</w:t>
      </w:r>
    </w:p>
    <w:p w14:paraId="3FAFC39F" w14:textId="0AAAF78E" w:rsidR="001663DE" w:rsidRDefault="001663DE" w:rsidP="001663DE">
      <w:pPr>
        <w:numPr>
          <w:ilvl w:val="1"/>
          <w:numId w:val="10"/>
        </w:numPr>
        <w:autoSpaceDE w:val="0"/>
        <w:autoSpaceDN w:val="0"/>
        <w:adjustRightInd w:val="0"/>
        <w:spacing w:line="276" w:lineRule="auto"/>
        <w:jc w:val="both"/>
        <w:rPr>
          <w:lang w:val="en-GB"/>
        </w:rPr>
      </w:pPr>
      <w:r w:rsidRPr="00320F90">
        <w:rPr>
          <w:lang w:val="en-GB"/>
        </w:rPr>
        <w:t xml:space="preserve">Several questions </w:t>
      </w:r>
      <w:proofErr w:type="gramStart"/>
      <w:r w:rsidRPr="00320F90">
        <w:rPr>
          <w:lang w:val="en-GB"/>
        </w:rPr>
        <w:t>have been published</w:t>
      </w:r>
      <w:proofErr w:type="gramEnd"/>
      <w:r w:rsidRPr="00320F90">
        <w:rPr>
          <w:lang w:val="en-GB"/>
        </w:rPr>
        <w:t xml:space="preserve"> on the issue: </w:t>
      </w:r>
      <w:r w:rsidRPr="001663DE">
        <w:rPr>
          <w:lang w:val="en-GB"/>
        </w:rPr>
        <w:t>416, 606, 655, 672 and 751. Lately an additional question raising doubts on previous answers</w:t>
      </w:r>
      <w:r>
        <w:rPr>
          <w:lang w:val="en-GB"/>
        </w:rPr>
        <w:t xml:space="preserve"> published </w:t>
      </w:r>
      <w:r w:rsidRPr="001663DE">
        <w:rPr>
          <w:lang w:val="en-GB"/>
        </w:rPr>
        <w:t xml:space="preserve">(Q&amp;A 897 – not published yet) </w:t>
      </w:r>
      <w:r>
        <w:rPr>
          <w:lang w:val="en-GB"/>
        </w:rPr>
        <w:t>lead to</w:t>
      </w:r>
      <w:r w:rsidRPr="001663DE">
        <w:rPr>
          <w:lang w:val="en-GB"/>
        </w:rPr>
        <w:t xml:space="preserve"> a more deep analysis of the template.</w:t>
      </w:r>
    </w:p>
    <w:p w14:paraId="29D42D51" w14:textId="4F9726F2" w:rsidR="00146FD3" w:rsidRPr="00CE60C3" w:rsidRDefault="00146FD3" w:rsidP="00146FD3">
      <w:pPr>
        <w:numPr>
          <w:ilvl w:val="1"/>
          <w:numId w:val="10"/>
        </w:numPr>
        <w:autoSpaceDE w:val="0"/>
        <w:autoSpaceDN w:val="0"/>
        <w:adjustRightInd w:val="0"/>
        <w:spacing w:line="276" w:lineRule="auto"/>
        <w:jc w:val="both"/>
        <w:rPr>
          <w:lang w:val="en-GB"/>
        </w:rPr>
      </w:pPr>
      <w:r w:rsidRPr="00CE60C3">
        <w:rPr>
          <w:lang w:val="en-GB"/>
        </w:rPr>
        <w:t>In fact the answers to the questions regarding template S.21.01 have not been clear enough</w:t>
      </w:r>
      <w:r w:rsidR="00CE60C3" w:rsidRPr="00CE60C3">
        <w:rPr>
          <w:lang w:val="en-GB"/>
        </w:rPr>
        <w:t xml:space="preserve"> whether </w:t>
      </w:r>
      <w:r w:rsidR="00CE60C3">
        <w:rPr>
          <w:lang w:val="en-GB"/>
        </w:rPr>
        <w:t>the data should be reported only regarding the “claims incurred in the reporting year” or regarding the “accumulated claims incurred”</w:t>
      </w:r>
      <w:r w:rsidRPr="00CE60C3">
        <w:rPr>
          <w:lang w:val="en-GB"/>
        </w:rPr>
        <w:t xml:space="preserve">. The reason for that was the lack of clarity in the Instructions combined with the fact that traditionally </w:t>
      </w:r>
      <w:r w:rsidR="00CE60C3">
        <w:rPr>
          <w:lang w:val="en-GB"/>
        </w:rPr>
        <w:t xml:space="preserve">from an actuarial point of view </w:t>
      </w:r>
      <w:r w:rsidRPr="00CE60C3">
        <w:rPr>
          <w:lang w:val="en-GB"/>
        </w:rPr>
        <w:t xml:space="preserve">this type of information </w:t>
      </w:r>
      <w:proofErr w:type="gramStart"/>
      <w:r w:rsidRPr="00CE60C3">
        <w:rPr>
          <w:lang w:val="en-GB"/>
        </w:rPr>
        <w:t xml:space="preserve">is </w:t>
      </w:r>
      <w:proofErr w:type="spellStart"/>
      <w:r w:rsidRPr="00CE60C3">
        <w:rPr>
          <w:lang w:val="en-GB"/>
        </w:rPr>
        <w:t>analised</w:t>
      </w:r>
      <w:proofErr w:type="spellEnd"/>
      <w:proofErr w:type="gramEnd"/>
      <w:r w:rsidRPr="00CE60C3">
        <w:rPr>
          <w:lang w:val="en-GB"/>
        </w:rPr>
        <w:t xml:space="preserve"> with accumulated amounts. </w:t>
      </w:r>
    </w:p>
    <w:p w14:paraId="2952B873" w14:textId="77777777" w:rsidR="005E1774" w:rsidRDefault="00CE60C3" w:rsidP="00CE60C3">
      <w:pPr>
        <w:numPr>
          <w:ilvl w:val="1"/>
          <w:numId w:val="10"/>
        </w:numPr>
        <w:autoSpaceDE w:val="0"/>
        <w:autoSpaceDN w:val="0"/>
        <w:adjustRightInd w:val="0"/>
        <w:spacing w:line="276" w:lineRule="auto"/>
        <w:jc w:val="both"/>
        <w:rPr>
          <w:lang w:val="en-GB"/>
        </w:rPr>
      </w:pPr>
      <w:proofErr w:type="gramStart"/>
      <w:r w:rsidRPr="00CE60C3">
        <w:rPr>
          <w:lang w:val="en-GB"/>
        </w:rPr>
        <w:t xml:space="preserve">The proposal is to clarify that information on template S.21.01 refers to </w:t>
      </w:r>
      <w:r w:rsidR="005E1774" w:rsidRPr="005E1774">
        <w:rPr>
          <w:lang w:val="en-GB"/>
        </w:rPr>
        <w:t>“accumulated claims incurred at the end of the reporting year”, meaning sum of gross claims paid (over the years) and gross reported but not settled claims (RBNS) on a case by case basis for each and every single claim, open or closed, which belongs to a specific accident year ("AY")/underwriting year ("UWY") (AY/UWY)</w:t>
      </w:r>
      <w:r w:rsidRPr="00CE60C3">
        <w:rPr>
          <w:lang w:val="en-GB"/>
        </w:rPr>
        <w:t>.</w:t>
      </w:r>
      <w:proofErr w:type="gramEnd"/>
      <w:r w:rsidRPr="00CE60C3">
        <w:rPr>
          <w:lang w:val="en-GB"/>
        </w:rPr>
        <w:t xml:space="preserve"> </w:t>
      </w:r>
    </w:p>
    <w:p w14:paraId="30072ABF" w14:textId="657ACF32" w:rsidR="00146FD3" w:rsidRPr="00CE60C3" w:rsidRDefault="00CE60C3" w:rsidP="00CE60C3">
      <w:pPr>
        <w:numPr>
          <w:ilvl w:val="1"/>
          <w:numId w:val="10"/>
        </w:numPr>
        <w:autoSpaceDE w:val="0"/>
        <w:autoSpaceDN w:val="0"/>
        <w:adjustRightInd w:val="0"/>
        <w:spacing w:line="276" w:lineRule="auto"/>
        <w:jc w:val="both"/>
        <w:rPr>
          <w:lang w:val="en-GB"/>
        </w:rPr>
      </w:pPr>
      <w:r w:rsidRPr="00CE60C3">
        <w:rPr>
          <w:lang w:val="en-GB"/>
        </w:rPr>
        <w:t>This clarification implies the need</w:t>
      </w:r>
      <w:r w:rsidR="00146FD3" w:rsidRPr="00CE60C3">
        <w:rPr>
          <w:lang w:val="en-GB"/>
        </w:rPr>
        <w:t xml:space="preserve"> for historical data. However, is the same historical data requested in S.19.01 (claims </w:t>
      </w:r>
      <w:r>
        <w:rPr>
          <w:lang w:val="en-GB"/>
        </w:rPr>
        <w:t>paid)</w:t>
      </w:r>
      <w:proofErr w:type="gramStart"/>
      <w:r w:rsidR="00146FD3" w:rsidRPr="00CE60C3">
        <w:rPr>
          <w:lang w:val="en-GB"/>
        </w:rPr>
        <w:t>.</w:t>
      </w:r>
      <w:proofErr w:type="gramEnd"/>
    </w:p>
    <w:p w14:paraId="5B71D3F2" w14:textId="441EBE3F" w:rsidR="0007596D" w:rsidRPr="00F132DA" w:rsidRDefault="0007596D" w:rsidP="0007596D">
      <w:pPr>
        <w:numPr>
          <w:ilvl w:val="1"/>
          <w:numId w:val="10"/>
        </w:numPr>
        <w:autoSpaceDE w:val="0"/>
        <w:autoSpaceDN w:val="0"/>
        <w:adjustRightInd w:val="0"/>
        <w:spacing w:line="276" w:lineRule="auto"/>
        <w:jc w:val="both"/>
        <w:rPr>
          <w:lang w:val="en-GB"/>
        </w:rPr>
      </w:pPr>
      <w:r w:rsidRPr="00F132DA">
        <w:rPr>
          <w:lang w:val="en-GB"/>
        </w:rPr>
        <w:t xml:space="preserve">Impact of amendment: </w:t>
      </w:r>
      <w:r>
        <w:rPr>
          <w:lang w:val="en-GB"/>
        </w:rPr>
        <w:t>even if data should be available for undertakings that have implemented as addressing only the claims incurred in the reporting year IT systems might have to be adapted. It would allow a better understanding of requirements (number of questions reveal</w:t>
      </w:r>
      <w:r w:rsidR="00965ABE">
        <w:rPr>
          <w:lang w:val="en-GB"/>
        </w:rPr>
        <w:t>s</w:t>
      </w:r>
      <w:r>
        <w:rPr>
          <w:lang w:val="en-GB"/>
        </w:rPr>
        <w:t xml:space="preserve"> uncertainty)</w:t>
      </w:r>
      <w:proofErr w:type="gramStart"/>
      <w:r>
        <w:rPr>
          <w:lang w:val="en-GB"/>
        </w:rPr>
        <w:t>,</w:t>
      </w:r>
      <w:proofErr w:type="gramEnd"/>
      <w:r>
        <w:rPr>
          <w:lang w:val="en-GB"/>
        </w:rPr>
        <w:t xml:space="preserve"> consistency in data reported and improve the use for prudential purposes. </w:t>
      </w:r>
    </w:p>
    <w:p w14:paraId="38DCDE4E" w14:textId="77777777" w:rsidR="0007596D" w:rsidRDefault="0007596D" w:rsidP="0007596D">
      <w:pPr>
        <w:numPr>
          <w:ilvl w:val="1"/>
          <w:numId w:val="10"/>
        </w:numPr>
        <w:autoSpaceDE w:val="0"/>
        <w:autoSpaceDN w:val="0"/>
        <w:adjustRightInd w:val="0"/>
        <w:spacing w:line="276" w:lineRule="auto"/>
        <w:jc w:val="both"/>
        <w:rPr>
          <w:lang w:val="en-GB"/>
        </w:rPr>
      </w:pPr>
      <w:r>
        <w:rPr>
          <w:lang w:val="en-GB"/>
        </w:rPr>
        <w:t xml:space="preserve">Impact of not amending: lack of consistency on the information reported affecting the use of the information. </w:t>
      </w:r>
    </w:p>
    <w:p w14:paraId="384177EB" w14:textId="77777777" w:rsidR="00B70371" w:rsidRPr="007362D4" w:rsidRDefault="00B70371" w:rsidP="007362D4">
      <w:pPr>
        <w:spacing w:after="0"/>
        <w:jc w:val="both"/>
        <w:rPr>
          <w:b/>
          <w:lang w:val="en-GB"/>
        </w:rPr>
      </w:pPr>
    </w:p>
    <w:p w14:paraId="301C2980" w14:textId="6A754B07" w:rsidR="00EE1105" w:rsidRPr="00654DAD" w:rsidRDefault="00EE1105" w:rsidP="00E01A3B">
      <w:pPr>
        <w:pStyle w:val="ListParagraph"/>
        <w:numPr>
          <w:ilvl w:val="0"/>
          <w:numId w:val="16"/>
        </w:numPr>
        <w:spacing w:after="0"/>
        <w:ind w:left="709" w:hanging="709"/>
        <w:jc w:val="both"/>
        <w:rPr>
          <w:rStyle w:val="Bold"/>
          <w:lang w:val="en-GB"/>
        </w:rPr>
      </w:pPr>
      <w:r w:rsidRPr="00654DAD">
        <w:rPr>
          <w:rStyle w:val="Bold"/>
          <w:lang w:val="en-GB"/>
        </w:rPr>
        <w:t xml:space="preserve">Nominated ECAI in several templates: standardisation of data, replace name by </w:t>
      </w:r>
      <w:r w:rsidR="00654DAD" w:rsidRPr="008D6585">
        <w:rPr>
          <w:rStyle w:val="Bold"/>
          <w:lang w:val="en-GB"/>
        </w:rPr>
        <w:t xml:space="preserve">close list with </w:t>
      </w:r>
      <w:r w:rsidRPr="00654DAD">
        <w:rPr>
          <w:rStyle w:val="Bold"/>
          <w:lang w:val="en-GB"/>
        </w:rPr>
        <w:t>LEI code</w:t>
      </w:r>
      <w:r w:rsidR="00654DAD" w:rsidRPr="008D6585">
        <w:rPr>
          <w:rStyle w:val="Bold"/>
          <w:lang w:val="en-GB"/>
        </w:rPr>
        <w:t xml:space="preserve"> and Name</w:t>
      </w:r>
    </w:p>
    <w:p w14:paraId="3FC94178" w14:textId="0346FDBD" w:rsidR="00956670" w:rsidRDefault="00956670" w:rsidP="00956670">
      <w:pPr>
        <w:numPr>
          <w:ilvl w:val="1"/>
          <w:numId w:val="10"/>
        </w:numPr>
        <w:autoSpaceDE w:val="0"/>
        <w:autoSpaceDN w:val="0"/>
        <w:adjustRightInd w:val="0"/>
        <w:spacing w:line="276" w:lineRule="auto"/>
        <w:jc w:val="both"/>
        <w:rPr>
          <w:lang w:val="en-GB"/>
        </w:rPr>
      </w:pPr>
      <w:r w:rsidRPr="0065678B">
        <w:rPr>
          <w:lang w:val="en-GB"/>
        </w:rPr>
        <w:t xml:space="preserve">Following the receivable of Q&amp;A </w:t>
      </w:r>
      <w:proofErr w:type="gramStart"/>
      <w:r>
        <w:rPr>
          <w:lang w:val="en-GB"/>
        </w:rPr>
        <w:t>809</w:t>
      </w:r>
      <w:proofErr w:type="gramEnd"/>
      <w:r>
        <w:rPr>
          <w:lang w:val="en-GB"/>
        </w:rPr>
        <w:t xml:space="preserve"> the problems of requesting the identification of the ECAI used through a string instead of a standardised code were re-assessed. Options were </w:t>
      </w:r>
      <w:proofErr w:type="spellStart"/>
      <w:r>
        <w:rPr>
          <w:lang w:val="en-GB"/>
        </w:rPr>
        <w:t>analised</w:t>
      </w:r>
      <w:proofErr w:type="spellEnd"/>
      <w:r>
        <w:rPr>
          <w:lang w:val="en-GB"/>
        </w:rPr>
        <w:t xml:space="preserve"> and the following was concluded:</w:t>
      </w:r>
    </w:p>
    <w:p w14:paraId="61AC7112" w14:textId="30CC4B12" w:rsidR="00956670" w:rsidRPr="00956670" w:rsidRDefault="00956670" w:rsidP="00956670">
      <w:pPr>
        <w:pStyle w:val="ListParagraph"/>
        <w:numPr>
          <w:ilvl w:val="0"/>
          <w:numId w:val="14"/>
        </w:numPr>
        <w:autoSpaceDE w:val="0"/>
        <w:autoSpaceDN w:val="0"/>
        <w:adjustRightInd w:val="0"/>
        <w:spacing w:line="276" w:lineRule="auto"/>
        <w:ind w:left="1276"/>
        <w:jc w:val="both"/>
        <w:rPr>
          <w:rStyle w:val="Bold"/>
          <w:b w:val="0"/>
          <w:lang w:val="en-GB"/>
        </w:rPr>
      </w:pPr>
      <w:proofErr w:type="gramStart"/>
      <w:r w:rsidRPr="00320F90">
        <w:rPr>
          <w:rStyle w:val="Bold"/>
          <w:b w:val="0"/>
          <w:lang w:val="en-GB"/>
        </w:rPr>
        <w:t>the</w:t>
      </w:r>
      <w:proofErr w:type="gramEnd"/>
      <w:r w:rsidRPr="00320F90">
        <w:rPr>
          <w:rStyle w:val="Bold"/>
          <w:b w:val="0"/>
          <w:lang w:val="en-GB"/>
        </w:rPr>
        <w:t xml:space="preserve"> Legal Entity Identifier (LEI) of the CRA is publicly available information which can be found on the European Rating Platform. </w:t>
      </w:r>
      <w:r w:rsidRPr="00956670">
        <w:rPr>
          <w:rStyle w:val="Bold"/>
          <w:b w:val="0"/>
          <w:lang w:val="en-GB"/>
        </w:rPr>
        <w:t xml:space="preserve">However, to obtain these codes through the </w:t>
      </w:r>
      <w:hyperlink r:id="rId13" w:history="1">
        <w:r w:rsidRPr="00956670">
          <w:rPr>
            <w:rStyle w:val="Bold"/>
            <w:b w:val="0"/>
            <w:lang w:val="en-GB"/>
          </w:rPr>
          <w:t>ERP</w:t>
        </w:r>
      </w:hyperlink>
      <w:r>
        <w:rPr>
          <w:rStyle w:val="FootnoteReference"/>
        </w:rPr>
        <w:footnoteReference w:id="4"/>
      </w:r>
      <w:r w:rsidRPr="00956670">
        <w:rPr>
          <w:rStyle w:val="Bold"/>
          <w:b w:val="0"/>
          <w:lang w:val="en-GB"/>
        </w:rPr>
        <w:t xml:space="preserve"> is </w:t>
      </w:r>
      <w:r w:rsidR="00654DAD">
        <w:rPr>
          <w:rStyle w:val="Bold"/>
          <w:b w:val="0"/>
          <w:lang w:val="en-GB"/>
        </w:rPr>
        <w:t>not a direct approach</w:t>
      </w:r>
      <w:r w:rsidRPr="00956670">
        <w:rPr>
          <w:rStyle w:val="Bold"/>
          <w:b w:val="0"/>
          <w:lang w:val="en-GB"/>
        </w:rPr>
        <w:t>;</w:t>
      </w:r>
    </w:p>
    <w:p w14:paraId="497C3E7A" w14:textId="42E4854E" w:rsidR="00956670" w:rsidRPr="00956670" w:rsidRDefault="00956670" w:rsidP="00956670">
      <w:pPr>
        <w:pStyle w:val="ListParagraph"/>
        <w:numPr>
          <w:ilvl w:val="0"/>
          <w:numId w:val="14"/>
        </w:numPr>
        <w:autoSpaceDE w:val="0"/>
        <w:autoSpaceDN w:val="0"/>
        <w:adjustRightInd w:val="0"/>
        <w:spacing w:line="276" w:lineRule="auto"/>
        <w:ind w:left="1276"/>
        <w:jc w:val="both"/>
        <w:rPr>
          <w:rStyle w:val="Bold"/>
          <w:b w:val="0"/>
          <w:lang w:val="en-GB"/>
        </w:rPr>
      </w:pPr>
      <w:r w:rsidRPr="00956670">
        <w:rPr>
          <w:rStyle w:val="Bold"/>
          <w:b w:val="0"/>
          <w:lang w:val="en-GB"/>
        </w:rPr>
        <w:t>Subsidiaries in and outside of the EU have each their own LEI which is more difficult to get.</w:t>
      </w:r>
    </w:p>
    <w:p w14:paraId="4F49FD5F" w14:textId="1066797D" w:rsidR="00956670" w:rsidRPr="00956670" w:rsidRDefault="00956670" w:rsidP="00956670">
      <w:pPr>
        <w:numPr>
          <w:ilvl w:val="1"/>
          <w:numId w:val="10"/>
        </w:numPr>
        <w:autoSpaceDE w:val="0"/>
        <w:autoSpaceDN w:val="0"/>
        <w:adjustRightInd w:val="0"/>
        <w:spacing w:line="276" w:lineRule="auto"/>
        <w:jc w:val="both"/>
        <w:rPr>
          <w:lang w:val="en-GB"/>
        </w:rPr>
      </w:pPr>
      <w:r>
        <w:rPr>
          <w:lang w:val="en-GB"/>
        </w:rPr>
        <w:t xml:space="preserve">Based on this analysis the solution </w:t>
      </w:r>
      <w:proofErr w:type="gramStart"/>
      <w:r>
        <w:rPr>
          <w:lang w:val="en-GB"/>
        </w:rPr>
        <w:t>being proposed</w:t>
      </w:r>
      <w:proofErr w:type="gramEnd"/>
      <w:r>
        <w:rPr>
          <w:lang w:val="en-GB"/>
        </w:rPr>
        <w:t xml:space="preserve"> is to include a close list, where both the name and LEI code would appear, including only the parents CRAs. Undertakings that use a subsidiary would report the parent ECAI. This list will have an option “Other” to be used in case new CRA are authorised by ESMA and while the close list is not up-dated (in the following taxonomy release). </w:t>
      </w:r>
    </w:p>
    <w:p w14:paraId="362C1064" w14:textId="57688AE9" w:rsidR="009A1ECD" w:rsidRPr="00F132DA" w:rsidRDefault="009A1ECD" w:rsidP="009A1ECD">
      <w:pPr>
        <w:numPr>
          <w:ilvl w:val="1"/>
          <w:numId w:val="10"/>
        </w:numPr>
        <w:autoSpaceDE w:val="0"/>
        <w:autoSpaceDN w:val="0"/>
        <w:adjustRightInd w:val="0"/>
        <w:spacing w:line="276" w:lineRule="auto"/>
        <w:jc w:val="both"/>
        <w:rPr>
          <w:lang w:val="en-GB"/>
        </w:rPr>
      </w:pPr>
      <w:r w:rsidRPr="00F132DA">
        <w:rPr>
          <w:lang w:val="en-GB"/>
        </w:rPr>
        <w:t>Impact of amendment:</w:t>
      </w:r>
      <w:r>
        <w:rPr>
          <w:lang w:val="en-GB"/>
        </w:rPr>
        <w:t xml:space="preserve"> including a close list instead of requesting the reporting of a name in a “string” format should </w:t>
      </w:r>
      <w:r w:rsidR="003F095E">
        <w:rPr>
          <w:lang w:val="en-GB"/>
        </w:rPr>
        <w:t xml:space="preserve">facilitate the reporting by undertakings and the use of the information by supervisors. </w:t>
      </w:r>
    </w:p>
    <w:p w14:paraId="1037FDE9" w14:textId="28F8EB30" w:rsidR="00EE1105" w:rsidRDefault="009A1ECD" w:rsidP="003F095E">
      <w:pPr>
        <w:numPr>
          <w:ilvl w:val="1"/>
          <w:numId w:val="10"/>
        </w:numPr>
        <w:autoSpaceDE w:val="0"/>
        <w:autoSpaceDN w:val="0"/>
        <w:adjustRightInd w:val="0"/>
        <w:spacing w:line="276" w:lineRule="auto"/>
        <w:jc w:val="both"/>
        <w:rPr>
          <w:lang w:val="en-GB"/>
        </w:rPr>
      </w:pPr>
      <w:r w:rsidRPr="003F095E">
        <w:rPr>
          <w:lang w:val="en-GB"/>
        </w:rPr>
        <w:t xml:space="preserve">Impact of not amending: </w:t>
      </w:r>
      <w:r w:rsidR="003F095E" w:rsidRPr="003F095E">
        <w:rPr>
          <w:lang w:val="en-GB"/>
        </w:rPr>
        <w:t xml:space="preserve">“strings” will continue to </w:t>
      </w:r>
      <w:proofErr w:type="gramStart"/>
      <w:r w:rsidR="003F095E" w:rsidRPr="003F095E">
        <w:rPr>
          <w:lang w:val="en-GB"/>
        </w:rPr>
        <w:t>be reported</w:t>
      </w:r>
      <w:proofErr w:type="gramEnd"/>
      <w:r w:rsidR="003F095E" w:rsidRPr="003F095E">
        <w:rPr>
          <w:lang w:val="en-GB"/>
        </w:rPr>
        <w:t xml:space="preserve"> which is more burdensome than choosing from a close list. Names will be reported inconsistently as “string”, e.g. “ARC Ratings, S.A. (previously </w:t>
      </w:r>
      <w:proofErr w:type="spellStart"/>
      <w:r w:rsidR="003F095E" w:rsidRPr="003F095E">
        <w:rPr>
          <w:lang w:val="en-GB"/>
        </w:rPr>
        <w:t>Companhia</w:t>
      </w:r>
      <w:proofErr w:type="spellEnd"/>
      <w:r w:rsidR="003F095E" w:rsidRPr="003F095E">
        <w:rPr>
          <w:lang w:val="en-GB"/>
        </w:rPr>
        <w:t xml:space="preserve"> Portuguesa de Rating, S.A)” could be reported as “ARC Ratings, S.A. (previously </w:t>
      </w:r>
      <w:proofErr w:type="spellStart"/>
      <w:r w:rsidR="003F095E" w:rsidRPr="003F095E">
        <w:rPr>
          <w:lang w:val="en-GB"/>
        </w:rPr>
        <w:t>Companhia</w:t>
      </w:r>
      <w:proofErr w:type="spellEnd"/>
      <w:r w:rsidR="003F095E" w:rsidRPr="003F095E">
        <w:rPr>
          <w:lang w:val="en-GB"/>
        </w:rPr>
        <w:t xml:space="preserve"> Portuguesa de Rating, S.A)”, as “ARC Ratings, S.A.”, as “ARC Ratings, SA” or as “ARC Ratings” just to name some of the expected </w:t>
      </w:r>
      <w:r w:rsidR="003F095E">
        <w:rPr>
          <w:lang w:val="en-GB"/>
        </w:rPr>
        <w:t xml:space="preserve">possibilities </w:t>
      </w:r>
      <w:r w:rsidR="003F095E" w:rsidRPr="003F095E">
        <w:rPr>
          <w:lang w:val="en-GB"/>
        </w:rPr>
        <w:t xml:space="preserve">considering lessons learned from previous reporting. </w:t>
      </w:r>
    </w:p>
    <w:p w14:paraId="0F33F610" w14:textId="57737304" w:rsidR="00562EA2" w:rsidRDefault="00562EA2" w:rsidP="008B40E9">
      <w:pPr>
        <w:pStyle w:val="Heading2"/>
        <w:rPr>
          <w:lang w:eastAsia="en-GB"/>
        </w:rPr>
      </w:pPr>
      <w:r w:rsidRPr="008B40E9">
        <w:rPr>
          <w:lang w:eastAsia="en-GB"/>
        </w:rPr>
        <w:t>Section 6 - Comparison of Options</w:t>
      </w:r>
    </w:p>
    <w:p w14:paraId="22BA01B2" w14:textId="685803F1" w:rsidR="00562EA2" w:rsidRPr="008B40E9" w:rsidRDefault="00562EA2" w:rsidP="008B40E9">
      <w:pPr>
        <w:numPr>
          <w:ilvl w:val="1"/>
          <w:numId w:val="10"/>
        </w:numPr>
        <w:autoSpaceDE w:val="0"/>
        <w:autoSpaceDN w:val="0"/>
        <w:adjustRightInd w:val="0"/>
        <w:spacing w:line="276" w:lineRule="auto"/>
        <w:jc w:val="both"/>
        <w:rPr>
          <w:lang w:val="en-GB"/>
        </w:rPr>
      </w:pPr>
      <w:r w:rsidRPr="008B40E9">
        <w:rPr>
          <w:lang w:val="en-GB"/>
        </w:rPr>
        <w:t>This chapter presents the conclusions of the options analysis and the</w:t>
      </w:r>
      <w:r>
        <w:rPr>
          <w:lang w:val="en-GB"/>
        </w:rPr>
        <w:t xml:space="preserve"> </w:t>
      </w:r>
      <w:r w:rsidRPr="008B40E9">
        <w:rPr>
          <w:lang w:val="en-GB"/>
        </w:rPr>
        <w:t>preferred options for each of the issues.</w:t>
      </w:r>
    </w:p>
    <w:p w14:paraId="339F16F6" w14:textId="77777777" w:rsidR="00562EA2" w:rsidRDefault="00562EA2" w:rsidP="00562EA2">
      <w:pPr>
        <w:rPr>
          <w:b/>
          <w:lang w:val="en-GB"/>
        </w:rPr>
      </w:pPr>
    </w:p>
    <w:p w14:paraId="54DFD950" w14:textId="61D1405D" w:rsidR="00562EA2" w:rsidRPr="008B40E9" w:rsidRDefault="00562EA2" w:rsidP="008B40E9">
      <w:pPr>
        <w:pStyle w:val="ListParagraph"/>
        <w:numPr>
          <w:ilvl w:val="0"/>
          <w:numId w:val="22"/>
        </w:numPr>
        <w:spacing w:after="0"/>
        <w:jc w:val="both"/>
        <w:rPr>
          <w:b/>
          <w:lang w:val="en-GB"/>
        </w:rPr>
      </w:pPr>
      <w:r w:rsidRPr="00EE1105">
        <w:rPr>
          <w:b/>
          <w:lang w:val="en-GB"/>
        </w:rPr>
        <w:t>Introduction of new types of undertakings in the cl</w:t>
      </w:r>
      <w:r>
        <w:rPr>
          <w:b/>
          <w:lang w:val="en-GB"/>
        </w:rPr>
        <w:t>ose list of S.01.02.C0010/R0040</w:t>
      </w:r>
    </w:p>
    <w:p w14:paraId="128815CC" w14:textId="6377A1CE" w:rsidR="00FF6A4E" w:rsidRDefault="00562EA2" w:rsidP="008B40E9">
      <w:pPr>
        <w:numPr>
          <w:ilvl w:val="1"/>
          <w:numId w:val="10"/>
        </w:numPr>
        <w:autoSpaceDE w:val="0"/>
        <w:autoSpaceDN w:val="0"/>
        <w:adjustRightInd w:val="0"/>
        <w:spacing w:line="276" w:lineRule="auto"/>
        <w:jc w:val="both"/>
        <w:rPr>
          <w:lang w:val="en-GB"/>
        </w:rPr>
      </w:pPr>
      <w:r w:rsidRPr="008B40E9">
        <w:rPr>
          <w:lang w:val="en-GB"/>
        </w:rPr>
        <w:t xml:space="preserve">With respect to the </w:t>
      </w:r>
      <w:r>
        <w:rPr>
          <w:lang w:val="en-GB"/>
        </w:rPr>
        <w:t>need and impact of introducing such an amendment the benefits of the amendment clear</w:t>
      </w:r>
      <w:r w:rsidR="00E660DD">
        <w:rPr>
          <w:lang w:val="en-GB"/>
        </w:rPr>
        <w:t>ly</w:t>
      </w:r>
      <w:r>
        <w:rPr>
          <w:lang w:val="en-GB"/>
        </w:rPr>
        <w:t xml:space="preserve"> overset the cost which were considered as </w:t>
      </w:r>
      <w:r w:rsidR="00FF6A4E">
        <w:rPr>
          <w:lang w:val="en-GB"/>
        </w:rPr>
        <w:t xml:space="preserve">residual as it will only address </w:t>
      </w:r>
      <w:r w:rsidR="00FF6A4E">
        <w:rPr>
          <w:rFonts w:eastAsia="Times New Roman" w:cs="Verdana"/>
          <w:lang w:val="en-GB" w:eastAsia="de-DE"/>
        </w:rPr>
        <w:t>undertakings pursuing both life and non-life business</w:t>
      </w:r>
      <w:r w:rsidR="00FF6A4E">
        <w:rPr>
          <w:lang w:val="en-GB"/>
        </w:rPr>
        <w:t xml:space="preserve"> and reinsurance undertakings and the only impact for undertakings is having to choose a different option from the close list.</w:t>
      </w:r>
    </w:p>
    <w:p w14:paraId="4B33B9B5" w14:textId="2E45813F" w:rsidR="00562EA2" w:rsidRDefault="00562EA2" w:rsidP="008B40E9">
      <w:pPr>
        <w:rPr>
          <w:lang w:val="en-GB" w:eastAsia="en-GB"/>
        </w:rPr>
      </w:pPr>
    </w:p>
    <w:p w14:paraId="7FCCEC12" w14:textId="77777777" w:rsidR="00FF6A4E" w:rsidRDefault="00FF6A4E" w:rsidP="008B40E9">
      <w:pPr>
        <w:pStyle w:val="ListParagraph"/>
        <w:numPr>
          <w:ilvl w:val="0"/>
          <w:numId w:val="22"/>
        </w:numPr>
        <w:spacing w:after="0"/>
        <w:jc w:val="both"/>
        <w:rPr>
          <w:b/>
          <w:lang w:val="en-GB"/>
        </w:rPr>
      </w:pPr>
      <w:r w:rsidRPr="00EE1105">
        <w:rPr>
          <w:b/>
          <w:lang w:val="en-GB"/>
        </w:rPr>
        <w:t>Introduction of new item in S.01.02 indicating if undertaki</w:t>
      </w:r>
      <w:r>
        <w:rPr>
          <w:b/>
          <w:lang w:val="en-GB"/>
        </w:rPr>
        <w:t>ng has a non-financial year end</w:t>
      </w:r>
    </w:p>
    <w:p w14:paraId="6E3EF1BE" w14:textId="77777777" w:rsidR="00FF6A4E" w:rsidRDefault="00FF6A4E" w:rsidP="008B40E9">
      <w:pPr>
        <w:pStyle w:val="ListParagraph"/>
        <w:spacing w:after="0"/>
        <w:ind w:left="450"/>
        <w:jc w:val="both"/>
        <w:rPr>
          <w:b/>
          <w:lang w:val="en-GB"/>
        </w:rPr>
      </w:pPr>
    </w:p>
    <w:p w14:paraId="2B1ED26F" w14:textId="7CEE77D2" w:rsidR="00FF6A4E" w:rsidRDefault="00FF6A4E" w:rsidP="00FF6A4E">
      <w:pPr>
        <w:numPr>
          <w:ilvl w:val="1"/>
          <w:numId w:val="10"/>
        </w:numPr>
        <w:autoSpaceDE w:val="0"/>
        <w:autoSpaceDN w:val="0"/>
        <w:adjustRightInd w:val="0"/>
        <w:spacing w:line="276" w:lineRule="auto"/>
        <w:jc w:val="both"/>
        <w:rPr>
          <w:lang w:val="en-GB"/>
        </w:rPr>
      </w:pPr>
      <w:r w:rsidRPr="00FC4C8E">
        <w:rPr>
          <w:lang w:val="en-GB"/>
        </w:rPr>
        <w:t xml:space="preserve">With respect to the </w:t>
      </w:r>
      <w:r>
        <w:rPr>
          <w:lang w:val="en-GB"/>
        </w:rPr>
        <w:t xml:space="preserve">need and impact of introducing such an </w:t>
      </w:r>
      <w:proofErr w:type="gramStart"/>
      <w:r>
        <w:rPr>
          <w:lang w:val="en-GB"/>
        </w:rPr>
        <w:t>amendment</w:t>
      </w:r>
      <w:proofErr w:type="gramEnd"/>
      <w:r>
        <w:rPr>
          <w:lang w:val="en-GB"/>
        </w:rPr>
        <w:t xml:space="preserve"> the benefits of the amendment clear</w:t>
      </w:r>
      <w:r w:rsidR="00E660DD">
        <w:rPr>
          <w:lang w:val="en-GB"/>
        </w:rPr>
        <w:t>ly</w:t>
      </w:r>
      <w:r>
        <w:rPr>
          <w:lang w:val="en-GB"/>
        </w:rPr>
        <w:t xml:space="preserve"> overset the cost which were considered as residual as it addresses “non-business data” and should be relatively easy to implement. The value-added in terms of possible XBRL validations to check the correct use of the reference date embedded in the XBRL reports is very important. </w:t>
      </w:r>
    </w:p>
    <w:p w14:paraId="233A8E86" w14:textId="77777777" w:rsidR="00AF2BD5" w:rsidRDefault="00AF2BD5" w:rsidP="008B40E9">
      <w:pPr>
        <w:pStyle w:val="ListParagraph"/>
        <w:numPr>
          <w:ilvl w:val="0"/>
          <w:numId w:val="22"/>
        </w:numPr>
        <w:spacing w:after="0"/>
        <w:jc w:val="both"/>
        <w:rPr>
          <w:b/>
          <w:lang w:val="en-GB"/>
        </w:rPr>
      </w:pPr>
      <w:r w:rsidRPr="00EE1105">
        <w:rPr>
          <w:b/>
          <w:lang w:val="en-GB"/>
        </w:rPr>
        <w:t>Introduction of new options in close list for ad-hoc reporting in S.</w:t>
      </w:r>
      <w:r>
        <w:rPr>
          <w:b/>
          <w:lang w:val="en-GB"/>
        </w:rPr>
        <w:t>01.02.C0010/R0100</w:t>
      </w:r>
    </w:p>
    <w:p w14:paraId="41458636" w14:textId="77777777" w:rsidR="00AF2BD5" w:rsidRDefault="00AF2BD5" w:rsidP="008B40E9">
      <w:pPr>
        <w:pStyle w:val="ListParagraph"/>
        <w:spacing w:after="0"/>
        <w:ind w:left="450"/>
        <w:jc w:val="both"/>
        <w:rPr>
          <w:b/>
          <w:lang w:val="en-GB"/>
        </w:rPr>
      </w:pPr>
    </w:p>
    <w:p w14:paraId="33FA6F77" w14:textId="6BD246AE" w:rsidR="00AF2BD5" w:rsidRDefault="007450A5" w:rsidP="00AF2BD5">
      <w:pPr>
        <w:numPr>
          <w:ilvl w:val="1"/>
          <w:numId w:val="10"/>
        </w:numPr>
        <w:autoSpaceDE w:val="0"/>
        <w:autoSpaceDN w:val="0"/>
        <w:adjustRightInd w:val="0"/>
        <w:spacing w:line="276" w:lineRule="auto"/>
        <w:jc w:val="both"/>
        <w:rPr>
          <w:lang w:val="en-GB"/>
        </w:rPr>
      </w:pPr>
      <w:r w:rsidRPr="00FC4C8E">
        <w:rPr>
          <w:lang w:val="en-GB"/>
        </w:rPr>
        <w:t xml:space="preserve">With respect to the </w:t>
      </w:r>
      <w:r>
        <w:rPr>
          <w:lang w:val="en-GB"/>
        </w:rPr>
        <w:t xml:space="preserve">need and impact of introducing such an </w:t>
      </w:r>
      <w:proofErr w:type="gramStart"/>
      <w:r>
        <w:rPr>
          <w:lang w:val="en-GB"/>
        </w:rPr>
        <w:t>amendment</w:t>
      </w:r>
      <w:proofErr w:type="gramEnd"/>
      <w:r>
        <w:rPr>
          <w:lang w:val="en-GB"/>
        </w:rPr>
        <w:t xml:space="preserve"> the benefits of the amendment clear</w:t>
      </w:r>
      <w:r w:rsidR="00E660DD">
        <w:rPr>
          <w:lang w:val="en-GB"/>
        </w:rPr>
        <w:t>ly</w:t>
      </w:r>
      <w:r>
        <w:rPr>
          <w:lang w:val="en-GB"/>
        </w:rPr>
        <w:t xml:space="preserve"> overset the cost which were considered as residual as</w:t>
      </w:r>
      <w:r w:rsidRPr="00FC4C8E">
        <w:rPr>
          <w:lang w:val="en-GB"/>
        </w:rPr>
        <w:t xml:space="preserve"> </w:t>
      </w:r>
      <w:r w:rsidR="00AF2BD5">
        <w:rPr>
          <w:lang w:val="en-GB"/>
        </w:rPr>
        <w:t xml:space="preserve">it addresses very specific submissions. It would however facilitate the reporting, </w:t>
      </w:r>
      <w:r w:rsidR="00AF2BD5" w:rsidRPr="00D62083">
        <w:rPr>
          <w:lang w:val="en-GB"/>
        </w:rPr>
        <w:t>processing, validation and ana</w:t>
      </w:r>
      <w:r w:rsidR="00AF2BD5">
        <w:rPr>
          <w:lang w:val="en-GB"/>
        </w:rPr>
        <w:t>lyses of the information for these cases</w:t>
      </w:r>
      <w:r>
        <w:rPr>
          <w:lang w:val="en-GB"/>
        </w:rPr>
        <w:t xml:space="preserve">. </w:t>
      </w:r>
    </w:p>
    <w:p w14:paraId="57B084EB" w14:textId="77777777" w:rsidR="002A08A1" w:rsidRPr="008B40E9" w:rsidRDefault="002A08A1" w:rsidP="008B40E9">
      <w:pPr>
        <w:pStyle w:val="ListParagraph"/>
        <w:numPr>
          <w:ilvl w:val="0"/>
          <w:numId w:val="22"/>
        </w:numPr>
        <w:spacing w:after="0"/>
        <w:jc w:val="both"/>
        <w:rPr>
          <w:lang w:val="en-GB"/>
        </w:rPr>
      </w:pPr>
      <w:r w:rsidRPr="008B40E9">
        <w:rPr>
          <w:lang w:val="en-GB"/>
        </w:rPr>
        <w:t>Inclusion of investment contracts</w:t>
      </w:r>
      <w:r w:rsidRPr="00AB5CC7">
        <w:rPr>
          <w:b/>
          <w:lang w:val="en-GB"/>
        </w:rPr>
        <w:t xml:space="preserve"> in the scope S.04/</w:t>
      </w:r>
      <w:r w:rsidRPr="008B40E9">
        <w:rPr>
          <w:lang w:val="en-GB"/>
        </w:rPr>
        <w:t>S.05</w:t>
      </w:r>
    </w:p>
    <w:p w14:paraId="407A6ED3" w14:textId="77777777" w:rsidR="00AF2BD5" w:rsidRDefault="00AF2BD5" w:rsidP="008B40E9">
      <w:pPr>
        <w:pStyle w:val="ListParagraph"/>
        <w:spacing w:after="0"/>
        <w:ind w:left="450"/>
        <w:jc w:val="both"/>
        <w:rPr>
          <w:b/>
          <w:lang w:val="en-GB"/>
        </w:rPr>
      </w:pPr>
    </w:p>
    <w:p w14:paraId="3B034958" w14:textId="53749AFB" w:rsidR="00E660DD" w:rsidRDefault="00E660DD" w:rsidP="00397FD7">
      <w:pPr>
        <w:numPr>
          <w:ilvl w:val="1"/>
          <w:numId w:val="10"/>
        </w:numPr>
        <w:autoSpaceDE w:val="0"/>
        <w:autoSpaceDN w:val="0"/>
        <w:adjustRightInd w:val="0"/>
        <w:spacing w:line="276" w:lineRule="auto"/>
        <w:jc w:val="both"/>
        <w:rPr>
          <w:lang w:val="en-GB"/>
        </w:rPr>
      </w:pPr>
      <w:r w:rsidRPr="00FC4C8E">
        <w:rPr>
          <w:lang w:val="en-GB"/>
        </w:rPr>
        <w:t xml:space="preserve">With respect to the </w:t>
      </w:r>
      <w:r>
        <w:rPr>
          <w:lang w:val="en-GB"/>
        </w:rPr>
        <w:t xml:space="preserve">need and impact of introducing such an amendment, the benefits of the amendment clearly overset the costs. </w:t>
      </w:r>
    </w:p>
    <w:p w14:paraId="7C72A6E9" w14:textId="3B6A7550" w:rsidR="00E660DD" w:rsidRDefault="00E660DD">
      <w:pPr>
        <w:numPr>
          <w:ilvl w:val="1"/>
          <w:numId w:val="10"/>
        </w:numPr>
        <w:autoSpaceDE w:val="0"/>
        <w:autoSpaceDN w:val="0"/>
        <w:adjustRightInd w:val="0"/>
        <w:spacing w:line="276" w:lineRule="auto"/>
        <w:jc w:val="both"/>
        <w:rPr>
          <w:lang w:val="en-GB"/>
        </w:rPr>
      </w:pPr>
      <w:r>
        <w:rPr>
          <w:lang w:val="en-GB"/>
        </w:rPr>
        <w:t>W</w:t>
      </w:r>
      <w:r w:rsidRPr="008B40E9">
        <w:rPr>
          <w:lang w:val="en-GB"/>
        </w:rPr>
        <w:t xml:space="preserve">hilst there would be some additional work required to modify the current reporting processes to accommodate the changes, </w:t>
      </w:r>
      <w:r>
        <w:rPr>
          <w:lang w:val="en-GB"/>
        </w:rPr>
        <w:t>stakeholders did not raised concerns and indicated that would not be</w:t>
      </w:r>
      <w:r w:rsidRPr="008B40E9">
        <w:rPr>
          <w:lang w:val="en-GB"/>
        </w:rPr>
        <w:t xml:space="preserve"> too onerous and, once made, would not significantly </w:t>
      </w:r>
      <w:proofErr w:type="gramStart"/>
      <w:r w:rsidRPr="008B40E9">
        <w:rPr>
          <w:lang w:val="en-GB"/>
        </w:rPr>
        <w:t>impact</w:t>
      </w:r>
      <w:proofErr w:type="gramEnd"/>
      <w:r w:rsidRPr="008B40E9">
        <w:rPr>
          <w:lang w:val="en-GB"/>
        </w:rPr>
        <w:t xml:space="preserve"> production. </w:t>
      </w:r>
    </w:p>
    <w:p w14:paraId="6B54DA9A" w14:textId="6124563A" w:rsidR="006F08BC" w:rsidRDefault="00E660DD">
      <w:pPr>
        <w:numPr>
          <w:ilvl w:val="1"/>
          <w:numId w:val="10"/>
        </w:numPr>
        <w:autoSpaceDE w:val="0"/>
        <w:autoSpaceDN w:val="0"/>
        <w:adjustRightInd w:val="0"/>
        <w:spacing w:line="276" w:lineRule="auto"/>
        <w:jc w:val="both"/>
        <w:rPr>
          <w:lang w:val="en-GB"/>
        </w:rPr>
      </w:pPr>
      <w:proofErr w:type="gramStart"/>
      <w:r>
        <w:rPr>
          <w:lang w:val="en-GB"/>
        </w:rPr>
        <w:t>Also</w:t>
      </w:r>
      <w:proofErr w:type="gramEnd"/>
      <w:r>
        <w:rPr>
          <w:lang w:val="en-GB"/>
        </w:rPr>
        <w:t xml:space="preserve">, the impact would only affect </w:t>
      </w:r>
      <w:r w:rsidR="00397FD7" w:rsidRPr="00947488">
        <w:rPr>
          <w:lang w:val="en-GB"/>
        </w:rPr>
        <w:t xml:space="preserve">undertakings applying accounting standards that recognise some insurance contracts as investment contracts and that were currently not including these amounts in the referred templates. </w:t>
      </w:r>
      <w:r>
        <w:rPr>
          <w:lang w:val="en-GB"/>
        </w:rPr>
        <w:t>I</w:t>
      </w:r>
      <w:r w:rsidR="00397FD7" w:rsidRPr="00947488">
        <w:rPr>
          <w:lang w:val="en-GB"/>
        </w:rPr>
        <w:t xml:space="preserve">t </w:t>
      </w:r>
      <w:proofErr w:type="gramStart"/>
      <w:r w:rsidR="00397FD7" w:rsidRPr="00947488">
        <w:rPr>
          <w:lang w:val="en-GB"/>
        </w:rPr>
        <w:t>should be noted</w:t>
      </w:r>
      <w:proofErr w:type="gramEnd"/>
      <w:r w:rsidR="00397FD7" w:rsidRPr="00947488">
        <w:rPr>
          <w:lang w:val="en-GB"/>
        </w:rPr>
        <w:t xml:space="preserve"> that in some Members where the accounting standards foresee this classification undertakings were in fact already reporting th</w:t>
      </w:r>
      <w:r w:rsidR="00397FD7">
        <w:rPr>
          <w:lang w:val="en-GB"/>
        </w:rPr>
        <w:t>e</w:t>
      </w:r>
      <w:r w:rsidR="00397FD7" w:rsidRPr="00947488">
        <w:rPr>
          <w:lang w:val="en-GB"/>
        </w:rPr>
        <w:t>s</w:t>
      </w:r>
      <w:r w:rsidR="00397FD7">
        <w:rPr>
          <w:lang w:val="en-GB"/>
        </w:rPr>
        <w:t>e</w:t>
      </w:r>
      <w:r w:rsidR="00397FD7" w:rsidRPr="00947488">
        <w:rPr>
          <w:lang w:val="en-GB"/>
        </w:rPr>
        <w:t xml:space="preserve"> contracts within the templates</w:t>
      </w:r>
      <w:r w:rsidR="006F08BC">
        <w:rPr>
          <w:lang w:val="en-GB"/>
        </w:rPr>
        <w:t>.</w:t>
      </w:r>
    </w:p>
    <w:p w14:paraId="49B0A7E1" w14:textId="6B3BD982" w:rsidR="00397FD7" w:rsidRDefault="006F08BC">
      <w:pPr>
        <w:numPr>
          <w:ilvl w:val="1"/>
          <w:numId w:val="10"/>
        </w:numPr>
        <w:autoSpaceDE w:val="0"/>
        <w:autoSpaceDN w:val="0"/>
        <w:adjustRightInd w:val="0"/>
        <w:spacing w:line="276" w:lineRule="auto"/>
        <w:jc w:val="both"/>
        <w:rPr>
          <w:lang w:val="en-GB"/>
        </w:rPr>
      </w:pPr>
      <w:r>
        <w:rPr>
          <w:lang w:val="en-GB"/>
        </w:rPr>
        <w:t xml:space="preserve">The decision also took into consideration the fact that </w:t>
      </w:r>
      <w:r w:rsidR="00397FD7">
        <w:rPr>
          <w:lang w:val="en-GB"/>
        </w:rPr>
        <w:t xml:space="preserve">ad-hoc reporting </w:t>
      </w:r>
      <w:proofErr w:type="gramStart"/>
      <w:r>
        <w:rPr>
          <w:lang w:val="en-GB"/>
        </w:rPr>
        <w:t>would be needed</w:t>
      </w:r>
      <w:proofErr w:type="gramEnd"/>
      <w:r>
        <w:rPr>
          <w:lang w:val="en-GB"/>
        </w:rPr>
        <w:t xml:space="preserve"> in case to fulfil the responsibilities of article 159 of the Directive. </w:t>
      </w:r>
    </w:p>
    <w:p w14:paraId="43534E66" w14:textId="77777777" w:rsidR="00397FD7" w:rsidRDefault="00397FD7" w:rsidP="008B40E9">
      <w:pPr>
        <w:pStyle w:val="ListParagraph"/>
        <w:spacing w:after="0"/>
        <w:ind w:left="450"/>
        <w:jc w:val="both"/>
        <w:rPr>
          <w:b/>
          <w:lang w:val="en-GB"/>
        </w:rPr>
      </w:pPr>
    </w:p>
    <w:p w14:paraId="2F870649" w14:textId="77777777" w:rsidR="002A08A1" w:rsidRPr="008B40E9" w:rsidRDefault="002A08A1" w:rsidP="00B70452">
      <w:pPr>
        <w:pStyle w:val="ListParagraph"/>
        <w:numPr>
          <w:ilvl w:val="0"/>
          <w:numId w:val="22"/>
        </w:numPr>
        <w:spacing w:after="0"/>
        <w:jc w:val="both"/>
        <w:rPr>
          <w:lang w:val="en-GB"/>
        </w:rPr>
      </w:pPr>
      <w:r w:rsidRPr="008B40E9">
        <w:rPr>
          <w:lang w:val="en-GB"/>
        </w:rPr>
        <w:t>Flexibility in the application of look-through in S.06.03</w:t>
      </w:r>
    </w:p>
    <w:p w14:paraId="6A08F030" w14:textId="77777777" w:rsidR="002A08A1" w:rsidRDefault="002A08A1" w:rsidP="002A08A1">
      <w:pPr>
        <w:pStyle w:val="Bulletpoints1"/>
        <w:numPr>
          <w:ilvl w:val="0"/>
          <w:numId w:val="0"/>
        </w:numPr>
        <w:ind w:left="709" w:hanging="709"/>
        <w:rPr>
          <w:b/>
        </w:rPr>
      </w:pPr>
      <w:r w:rsidRPr="00E753F0">
        <w:rPr>
          <w:b/>
        </w:rPr>
        <w:t xml:space="preserve">e.1) </w:t>
      </w:r>
      <w:r w:rsidRPr="00E753F0">
        <w:rPr>
          <w:b/>
        </w:rPr>
        <w:tab/>
        <w:t>Look-through by geographical area:</w:t>
      </w:r>
    </w:p>
    <w:p w14:paraId="13D655FC" w14:textId="1FE05E7B" w:rsidR="00511532" w:rsidRPr="008B40E9" w:rsidRDefault="00511532" w:rsidP="008B40E9">
      <w:pPr>
        <w:numPr>
          <w:ilvl w:val="1"/>
          <w:numId w:val="10"/>
        </w:numPr>
        <w:autoSpaceDE w:val="0"/>
        <w:autoSpaceDN w:val="0"/>
        <w:adjustRightInd w:val="0"/>
        <w:spacing w:line="276" w:lineRule="auto"/>
        <w:jc w:val="both"/>
        <w:rPr>
          <w:lang w:val="en-GB"/>
        </w:rPr>
      </w:pPr>
      <w:proofErr w:type="gramStart"/>
      <w:r w:rsidRPr="008B40E9">
        <w:rPr>
          <w:lang w:val="en-GB"/>
        </w:rPr>
        <w:t>The proposal of amendment was welcomed</w:t>
      </w:r>
      <w:r w:rsidR="00921521">
        <w:rPr>
          <w:lang w:val="en-GB"/>
        </w:rPr>
        <w:t xml:space="preserve"> by stakeholders</w:t>
      </w:r>
      <w:proofErr w:type="gramEnd"/>
      <w:r w:rsidR="00921521">
        <w:rPr>
          <w:lang w:val="en-GB"/>
        </w:rPr>
        <w:t xml:space="preserve"> </w:t>
      </w:r>
      <w:r w:rsidRPr="008B40E9">
        <w:rPr>
          <w:lang w:val="en-GB"/>
        </w:rPr>
        <w:t>as it enhance</w:t>
      </w:r>
      <w:r w:rsidR="00921521">
        <w:rPr>
          <w:lang w:val="en-GB"/>
        </w:rPr>
        <w:t>s</w:t>
      </w:r>
      <w:r w:rsidRPr="008B40E9">
        <w:rPr>
          <w:lang w:val="en-GB"/>
        </w:rPr>
        <w:t xml:space="preserve"> flexibility in the application of look-through in S.06.03. The current requirement is extremely burdensome to implement and to </w:t>
      </w:r>
      <w:proofErr w:type="spellStart"/>
      <w:r w:rsidRPr="008B40E9">
        <w:rPr>
          <w:lang w:val="en-GB"/>
        </w:rPr>
        <w:t>fulfill</w:t>
      </w:r>
      <w:proofErr w:type="spellEnd"/>
      <w:r w:rsidRPr="008B40E9">
        <w:rPr>
          <w:lang w:val="en-GB"/>
        </w:rPr>
        <w:t xml:space="preserve">. However to be fully implemented, taking advantage of the proportionality, the reference to the countries that represent 5% of the total amount of funds had to be made more </w:t>
      </w:r>
      <w:r>
        <w:rPr>
          <w:lang w:val="en-GB"/>
        </w:rPr>
        <w:t>‘</w:t>
      </w:r>
      <w:r w:rsidRPr="008B40E9">
        <w:rPr>
          <w:lang w:val="en-GB"/>
        </w:rPr>
        <w:t>principle based</w:t>
      </w:r>
      <w:r>
        <w:rPr>
          <w:lang w:val="en-GB"/>
        </w:rPr>
        <w:t>’</w:t>
      </w:r>
      <w:r w:rsidRPr="008B40E9">
        <w:rPr>
          <w:lang w:val="en-GB"/>
        </w:rPr>
        <w:t xml:space="preserve"> rather than kept as a </w:t>
      </w:r>
      <w:r>
        <w:rPr>
          <w:lang w:val="en-GB"/>
        </w:rPr>
        <w:t>‘</w:t>
      </w:r>
      <w:r w:rsidRPr="008B40E9">
        <w:rPr>
          <w:lang w:val="en-GB"/>
        </w:rPr>
        <w:t>rule</w:t>
      </w:r>
      <w:r>
        <w:rPr>
          <w:lang w:val="en-GB"/>
        </w:rPr>
        <w:t>’</w:t>
      </w:r>
      <w:r w:rsidRPr="008B40E9">
        <w:rPr>
          <w:lang w:val="en-GB"/>
        </w:rPr>
        <w:t xml:space="preserve">. </w:t>
      </w:r>
    </w:p>
    <w:p w14:paraId="57AE0E51" w14:textId="3F82BF99" w:rsidR="00511532" w:rsidRPr="008B40E9" w:rsidRDefault="00511532" w:rsidP="008B40E9">
      <w:pPr>
        <w:numPr>
          <w:ilvl w:val="1"/>
          <w:numId w:val="10"/>
        </w:numPr>
        <w:autoSpaceDE w:val="0"/>
        <w:autoSpaceDN w:val="0"/>
        <w:adjustRightInd w:val="0"/>
        <w:spacing w:line="276" w:lineRule="auto"/>
        <w:jc w:val="both"/>
        <w:rPr>
          <w:lang w:val="en-GB"/>
        </w:rPr>
      </w:pPr>
      <w:r w:rsidRPr="008B40E9">
        <w:rPr>
          <w:lang w:val="en-GB"/>
        </w:rPr>
        <w:t xml:space="preserve">The amendment </w:t>
      </w:r>
      <w:proofErr w:type="gramStart"/>
      <w:r w:rsidRPr="008B40E9">
        <w:rPr>
          <w:lang w:val="en-GB"/>
        </w:rPr>
        <w:t xml:space="preserve">is </w:t>
      </w:r>
      <w:r>
        <w:rPr>
          <w:lang w:val="en-GB"/>
        </w:rPr>
        <w:t>considered</w:t>
      </w:r>
      <w:proofErr w:type="gramEnd"/>
      <w:r>
        <w:rPr>
          <w:lang w:val="en-GB"/>
        </w:rPr>
        <w:t xml:space="preserve"> as </w:t>
      </w:r>
      <w:r w:rsidRPr="008B40E9">
        <w:rPr>
          <w:lang w:val="en-GB"/>
        </w:rPr>
        <w:t xml:space="preserve">an important step in the application of proportionality and has no costs associated, as the current practices would also allow compliance with new approach if an undertaking desires not to change practices immediately. </w:t>
      </w:r>
    </w:p>
    <w:p w14:paraId="329EDECE" w14:textId="77777777" w:rsidR="00511532" w:rsidRPr="008B40E9" w:rsidRDefault="00511532" w:rsidP="002A08A1">
      <w:pPr>
        <w:pStyle w:val="Bulletpoints1"/>
        <w:numPr>
          <w:ilvl w:val="0"/>
          <w:numId w:val="0"/>
        </w:numPr>
        <w:ind w:left="709" w:hanging="709"/>
        <w:rPr>
          <w:b/>
          <w:lang w:val="en-US"/>
        </w:rPr>
      </w:pPr>
    </w:p>
    <w:p w14:paraId="48994506" w14:textId="77777777" w:rsidR="002A08A1" w:rsidRPr="00FC4C8E" w:rsidRDefault="002A08A1" w:rsidP="002A08A1">
      <w:pPr>
        <w:pStyle w:val="Bulletpoints1"/>
        <w:numPr>
          <w:ilvl w:val="0"/>
          <w:numId w:val="0"/>
        </w:numPr>
        <w:ind w:left="709" w:hanging="709"/>
        <w:rPr>
          <w:b/>
        </w:rPr>
      </w:pPr>
      <w:r w:rsidRPr="00FC4C8E">
        <w:rPr>
          <w:b/>
        </w:rPr>
        <w:t xml:space="preserve">e.2) </w:t>
      </w:r>
      <w:r w:rsidRPr="00FC4C8E">
        <w:rPr>
          <w:b/>
        </w:rPr>
        <w:tab/>
        <w:t>Look-through by category of investments:</w:t>
      </w:r>
    </w:p>
    <w:p w14:paraId="73D835EA" w14:textId="77777777" w:rsidR="002A08A1" w:rsidRDefault="002A08A1" w:rsidP="002A08A1">
      <w:pPr>
        <w:pStyle w:val="Bulletpoints1"/>
        <w:numPr>
          <w:ilvl w:val="0"/>
          <w:numId w:val="0"/>
        </w:numPr>
        <w:ind w:left="709" w:hanging="709"/>
        <w:rPr>
          <w:b/>
        </w:rPr>
      </w:pPr>
    </w:p>
    <w:p w14:paraId="35308B22" w14:textId="4D3DA33A" w:rsidR="00AB0F95" w:rsidRDefault="00AB0F95" w:rsidP="00AB0F95">
      <w:pPr>
        <w:numPr>
          <w:ilvl w:val="1"/>
          <w:numId w:val="10"/>
        </w:numPr>
        <w:autoSpaceDE w:val="0"/>
        <w:autoSpaceDN w:val="0"/>
        <w:adjustRightInd w:val="0"/>
        <w:spacing w:line="276" w:lineRule="auto"/>
        <w:jc w:val="both"/>
        <w:rPr>
          <w:lang w:val="en-GB"/>
        </w:rPr>
      </w:pPr>
      <w:r w:rsidRPr="00FC4C8E">
        <w:rPr>
          <w:lang w:val="en-GB"/>
        </w:rPr>
        <w:t xml:space="preserve">With respect to the </w:t>
      </w:r>
      <w:r>
        <w:rPr>
          <w:lang w:val="en-GB"/>
        </w:rPr>
        <w:t xml:space="preserve">need and impact of introducing such an </w:t>
      </w:r>
      <w:proofErr w:type="gramStart"/>
      <w:r>
        <w:rPr>
          <w:lang w:val="en-GB"/>
        </w:rPr>
        <w:t>amendment</w:t>
      </w:r>
      <w:proofErr w:type="gramEnd"/>
      <w:r>
        <w:rPr>
          <w:lang w:val="en-GB"/>
        </w:rPr>
        <w:t xml:space="preserve"> the benefits of the amendment clearly overset the costs by extending the application of proportionality</w:t>
      </w:r>
      <w:r w:rsidR="0094180D">
        <w:rPr>
          <w:lang w:val="en-GB"/>
        </w:rPr>
        <w:t xml:space="preserve"> to all types of funds</w:t>
      </w:r>
      <w:r>
        <w:rPr>
          <w:lang w:val="en-GB"/>
        </w:rPr>
        <w:t>.</w:t>
      </w:r>
    </w:p>
    <w:p w14:paraId="72143A9F" w14:textId="77777777" w:rsidR="00AB0F95" w:rsidRPr="00E753F0" w:rsidRDefault="00AB0F95" w:rsidP="002A08A1">
      <w:pPr>
        <w:pStyle w:val="Bulletpoints1"/>
        <w:numPr>
          <w:ilvl w:val="0"/>
          <w:numId w:val="0"/>
        </w:numPr>
        <w:ind w:left="709" w:hanging="709"/>
        <w:rPr>
          <w:b/>
        </w:rPr>
      </w:pPr>
    </w:p>
    <w:p w14:paraId="1D938555" w14:textId="77777777" w:rsidR="002A08A1" w:rsidRPr="008B40E9" w:rsidRDefault="002A08A1" w:rsidP="00B70452">
      <w:pPr>
        <w:pStyle w:val="ListParagraph"/>
        <w:numPr>
          <w:ilvl w:val="0"/>
          <w:numId w:val="22"/>
        </w:numPr>
        <w:spacing w:after="0"/>
        <w:jc w:val="both"/>
        <w:rPr>
          <w:lang w:val="en-GB"/>
        </w:rPr>
      </w:pPr>
      <w:r w:rsidRPr="008B40E9">
        <w:rPr>
          <w:lang w:val="en-GB"/>
        </w:rPr>
        <w:t xml:space="preserve">Alignment between templates S.12 and S.17 and within templates in relation to amounts of TP after use of </w:t>
      </w:r>
      <w:proofErr w:type="spellStart"/>
      <w:r w:rsidRPr="008B40E9">
        <w:rPr>
          <w:lang w:val="en-GB"/>
        </w:rPr>
        <w:t>transitionals</w:t>
      </w:r>
      <w:proofErr w:type="spellEnd"/>
      <w:r w:rsidRPr="008B40E9">
        <w:rPr>
          <w:lang w:val="en-GB"/>
        </w:rPr>
        <w:t xml:space="preserve"> and other measures</w:t>
      </w:r>
    </w:p>
    <w:p w14:paraId="177CF31B" w14:textId="77777777" w:rsidR="002A08A1" w:rsidRDefault="002A08A1" w:rsidP="008B40E9">
      <w:pPr>
        <w:pStyle w:val="ListParagraph"/>
        <w:spacing w:after="0"/>
        <w:ind w:left="450"/>
        <w:jc w:val="both"/>
        <w:rPr>
          <w:b/>
          <w:lang w:val="en-GB"/>
        </w:rPr>
      </w:pPr>
    </w:p>
    <w:p w14:paraId="25D8855E" w14:textId="671D0F1A" w:rsidR="00212CCF" w:rsidRDefault="00212CCF" w:rsidP="00212CCF">
      <w:pPr>
        <w:numPr>
          <w:ilvl w:val="1"/>
          <w:numId w:val="10"/>
        </w:numPr>
        <w:autoSpaceDE w:val="0"/>
        <w:autoSpaceDN w:val="0"/>
        <w:adjustRightInd w:val="0"/>
        <w:spacing w:line="276" w:lineRule="auto"/>
        <w:jc w:val="both"/>
        <w:rPr>
          <w:lang w:val="en-GB"/>
        </w:rPr>
      </w:pPr>
      <w:r w:rsidRPr="00FC4C8E">
        <w:rPr>
          <w:lang w:val="en-GB"/>
        </w:rPr>
        <w:t xml:space="preserve">With respect to the </w:t>
      </w:r>
      <w:r>
        <w:rPr>
          <w:lang w:val="en-GB"/>
        </w:rPr>
        <w:t xml:space="preserve">need and impact of introducing such an </w:t>
      </w:r>
      <w:proofErr w:type="gramStart"/>
      <w:r>
        <w:rPr>
          <w:lang w:val="en-GB"/>
        </w:rPr>
        <w:t>amendment</w:t>
      </w:r>
      <w:proofErr w:type="gramEnd"/>
      <w:r>
        <w:rPr>
          <w:lang w:val="en-GB"/>
        </w:rPr>
        <w:t xml:space="preserve"> the benefits of the amendment clearly overset the costs. Only undertakings using LTG measures and </w:t>
      </w:r>
      <w:proofErr w:type="spellStart"/>
      <w:r>
        <w:rPr>
          <w:lang w:val="en-GB"/>
        </w:rPr>
        <w:t>transitionals</w:t>
      </w:r>
      <w:proofErr w:type="spellEnd"/>
      <w:r>
        <w:rPr>
          <w:lang w:val="en-GB"/>
        </w:rPr>
        <w:t xml:space="preserve"> </w:t>
      </w:r>
      <w:proofErr w:type="gramStart"/>
      <w:r>
        <w:rPr>
          <w:lang w:val="en-GB"/>
        </w:rPr>
        <w:t>will be affected</w:t>
      </w:r>
      <w:proofErr w:type="gramEnd"/>
      <w:r>
        <w:rPr>
          <w:lang w:val="en-GB"/>
        </w:rPr>
        <w:t xml:space="preserve">. It </w:t>
      </w:r>
      <w:proofErr w:type="gramStart"/>
      <w:r>
        <w:rPr>
          <w:lang w:val="en-GB"/>
        </w:rPr>
        <w:t>should be noted</w:t>
      </w:r>
      <w:proofErr w:type="gramEnd"/>
      <w:r>
        <w:rPr>
          <w:lang w:val="en-GB"/>
        </w:rPr>
        <w:t xml:space="preserve"> that two out of the four rows affected relate to transitional on interest rate which just a few companies are using.</w:t>
      </w:r>
    </w:p>
    <w:p w14:paraId="30D3A901" w14:textId="7D7EB9B3" w:rsidR="00212CCF" w:rsidRPr="00212CCF" w:rsidRDefault="00212CCF">
      <w:pPr>
        <w:numPr>
          <w:ilvl w:val="1"/>
          <w:numId w:val="10"/>
        </w:numPr>
        <w:autoSpaceDE w:val="0"/>
        <w:autoSpaceDN w:val="0"/>
        <w:adjustRightInd w:val="0"/>
        <w:spacing w:line="276" w:lineRule="auto"/>
        <w:jc w:val="both"/>
        <w:rPr>
          <w:lang w:val="en-GB"/>
        </w:rPr>
      </w:pPr>
      <w:r w:rsidRPr="00212CCF">
        <w:rPr>
          <w:lang w:val="en-GB"/>
        </w:rPr>
        <w:t xml:space="preserve">The information is available for undertakings </w:t>
      </w:r>
      <w:r>
        <w:rPr>
          <w:lang w:val="en-GB"/>
        </w:rPr>
        <w:t xml:space="preserve">and the increasing </w:t>
      </w:r>
      <w:r w:rsidRPr="00212CCF">
        <w:rPr>
          <w:lang w:val="en-GB"/>
        </w:rPr>
        <w:t xml:space="preserve">consistency </w:t>
      </w:r>
      <w:r>
        <w:rPr>
          <w:lang w:val="en-GB"/>
        </w:rPr>
        <w:t>within the</w:t>
      </w:r>
      <w:r w:rsidRPr="00212CCF">
        <w:rPr>
          <w:lang w:val="en-GB"/>
        </w:rPr>
        <w:t xml:space="preserve"> information reported in the different rows</w:t>
      </w:r>
      <w:r>
        <w:rPr>
          <w:lang w:val="en-GB"/>
        </w:rPr>
        <w:t xml:space="preserve"> brings value-added for all stakeholders</w:t>
      </w:r>
      <w:r w:rsidRPr="00212CCF">
        <w:rPr>
          <w:lang w:val="en-GB"/>
        </w:rPr>
        <w:t xml:space="preserve">. </w:t>
      </w:r>
    </w:p>
    <w:p w14:paraId="043CF019" w14:textId="77777777" w:rsidR="00212CCF" w:rsidRDefault="00212CCF" w:rsidP="008B40E9">
      <w:pPr>
        <w:pStyle w:val="ListParagraph"/>
        <w:spacing w:after="0"/>
        <w:ind w:left="450"/>
        <w:jc w:val="both"/>
        <w:rPr>
          <w:b/>
          <w:lang w:val="en-GB"/>
        </w:rPr>
      </w:pPr>
    </w:p>
    <w:p w14:paraId="1E02012F" w14:textId="77777777" w:rsidR="00212CCF" w:rsidRDefault="00212CCF" w:rsidP="008B40E9">
      <w:pPr>
        <w:pStyle w:val="ListParagraph"/>
        <w:spacing w:after="0"/>
        <w:ind w:left="450"/>
        <w:jc w:val="both"/>
        <w:rPr>
          <w:b/>
          <w:lang w:val="en-GB"/>
        </w:rPr>
      </w:pPr>
    </w:p>
    <w:p w14:paraId="589CA3AB" w14:textId="77777777" w:rsidR="002A08A1" w:rsidRPr="008B40E9" w:rsidRDefault="002A08A1" w:rsidP="00B70452">
      <w:pPr>
        <w:pStyle w:val="ListParagraph"/>
        <w:numPr>
          <w:ilvl w:val="0"/>
          <w:numId w:val="22"/>
        </w:numPr>
        <w:spacing w:after="0"/>
        <w:jc w:val="both"/>
        <w:rPr>
          <w:lang w:val="en-GB"/>
        </w:rPr>
      </w:pPr>
      <w:r w:rsidRPr="008B40E9">
        <w:rPr>
          <w:lang w:val="en-GB"/>
        </w:rPr>
        <w:t>Consideration of accumulated amounts in S.21.01</w:t>
      </w:r>
    </w:p>
    <w:p w14:paraId="0C1339CA" w14:textId="77777777" w:rsidR="002A08A1" w:rsidRDefault="002A08A1" w:rsidP="008B40E9">
      <w:pPr>
        <w:pStyle w:val="ListParagraph"/>
        <w:spacing w:after="0"/>
        <w:ind w:left="450"/>
        <w:jc w:val="both"/>
        <w:rPr>
          <w:b/>
          <w:lang w:val="en-GB"/>
        </w:rPr>
      </w:pPr>
    </w:p>
    <w:p w14:paraId="2D924790" w14:textId="77777777" w:rsidR="00212CCF" w:rsidRDefault="00212CCF" w:rsidP="00212CCF">
      <w:pPr>
        <w:numPr>
          <w:ilvl w:val="1"/>
          <w:numId w:val="10"/>
        </w:numPr>
        <w:autoSpaceDE w:val="0"/>
        <w:autoSpaceDN w:val="0"/>
        <w:adjustRightInd w:val="0"/>
        <w:spacing w:line="276" w:lineRule="auto"/>
        <w:jc w:val="both"/>
        <w:rPr>
          <w:lang w:val="en-GB"/>
        </w:rPr>
      </w:pPr>
      <w:r w:rsidRPr="00FC4C8E">
        <w:rPr>
          <w:lang w:val="en-GB"/>
        </w:rPr>
        <w:t xml:space="preserve">With respect to the </w:t>
      </w:r>
      <w:r>
        <w:rPr>
          <w:lang w:val="en-GB"/>
        </w:rPr>
        <w:t xml:space="preserve">need and impact of introducing such an </w:t>
      </w:r>
      <w:proofErr w:type="gramStart"/>
      <w:r>
        <w:rPr>
          <w:lang w:val="en-GB"/>
        </w:rPr>
        <w:t>amendment</w:t>
      </w:r>
      <w:proofErr w:type="gramEnd"/>
      <w:r>
        <w:rPr>
          <w:lang w:val="en-GB"/>
        </w:rPr>
        <w:t xml:space="preserve"> the benefits of the amendment clearly overset the cost which were considered as residual as</w:t>
      </w:r>
      <w:r w:rsidRPr="00FC4C8E">
        <w:rPr>
          <w:lang w:val="en-GB"/>
        </w:rPr>
        <w:t xml:space="preserve"> </w:t>
      </w:r>
      <w:r>
        <w:rPr>
          <w:lang w:val="en-GB"/>
        </w:rPr>
        <w:t>data is available for undertakings and would improve consistency of data reported. It will allow a better understanding of requirements (number of questions reveals uncertainty)</w:t>
      </w:r>
      <w:proofErr w:type="gramStart"/>
      <w:r>
        <w:rPr>
          <w:lang w:val="en-GB"/>
        </w:rPr>
        <w:t>,</w:t>
      </w:r>
      <w:proofErr w:type="gramEnd"/>
      <w:r>
        <w:rPr>
          <w:lang w:val="en-GB"/>
        </w:rPr>
        <w:t xml:space="preserve"> consistency in data reported and improve the use for prudential purposes.</w:t>
      </w:r>
    </w:p>
    <w:p w14:paraId="2B8522BC" w14:textId="77777777" w:rsidR="00212CCF" w:rsidRDefault="00212CCF" w:rsidP="008B40E9">
      <w:pPr>
        <w:pStyle w:val="ListParagraph"/>
        <w:spacing w:after="0"/>
        <w:ind w:left="450"/>
        <w:jc w:val="both"/>
        <w:rPr>
          <w:b/>
          <w:lang w:val="en-GB"/>
        </w:rPr>
      </w:pPr>
    </w:p>
    <w:p w14:paraId="3C36B1C7" w14:textId="77777777" w:rsidR="00212CCF" w:rsidRPr="00654DAD" w:rsidRDefault="00212CCF" w:rsidP="00212CCF">
      <w:pPr>
        <w:pStyle w:val="ListParagraph"/>
        <w:numPr>
          <w:ilvl w:val="0"/>
          <w:numId w:val="16"/>
        </w:numPr>
        <w:spacing w:after="0"/>
        <w:ind w:left="709" w:hanging="709"/>
        <w:jc w:val="both"/>
        <w:rPr>
          <w:rStyle w:val="Bold"/>
          <w:lang w:val="en-GB"/>
        </w:rPr>
      </w:pPr>
      <w:r w:rsidRPr="00654DAD">
        <w:rPr>
          <w:rStyle w:val="Bold"/>
          <w:lang w:val="en-GB"/>
        </w:rPr>
        <w:t xml:space="preserve">Nominated ECAI in several templates: standardisation of data, replace name by </w:t>
      </w:r>
      <w:r w:rsidRPr="008D6585">
        <w:rPr>
          <w:rStyle w:val="Bold"/>
          <w:lang w:val="en-GB"/>
        </w:rPr>
        <w:t xml:space="preserve">close list with </w:t>
      </w:r>
      <w:r w:rsidRPr="00654DAD">
        <w:rPr>
          <w:rStyle w:val="Bold"/>
          <w:lang w:val="en-GB"/>
        </w:rPr>
        <w:t>LEI code</w:t>
      </w:r>
      <w:r w:rsidRPr="008D6585">
        <w:rPr>
          <w:rStyle w:val="Bold"/>
          <w:lang w:val="en-GB"/>
        </w:rPr>
        <w:t xml:space="preserve"> and Name</w:t>
      </w:r>
    </w:p>
    <w:p w14:paraId="4DA13337" w14:textId="77777777" w:rsidR="00212CCF" w:rsidRDefault="00212CCF" w:rsidP="008B40E9">
      <w:pPr>
        <w:pStyle w:val="ListParagraph"/>
        <w:spacing w:after="0"/>
        <w:ind w:left="450"/>
        <w:jc w:val="both"/>
        <w:rPr>
          <w:b/>
          <w:lang w:val="en-GB"/>
        </w:rPr>
      </w:pPr>
    </w:p>
    <w:p w14:paraId="2CCFB834" w14:textId="77777777" w:rsidR="007144B2" w:rsidRDefault="007C4BFE">
      <w:pPr>
        <w:numPr>
          <w:ilvl w:val="1"/>
          <w:numId w:val="10"/>
        </w:numPr>
        <w:autoSpaceDE w:val="0"/>
        <w:autoSpaceDN w:val="0"/>
        <w:adjustRightInd w:val="0"/>
        <w:spacing w:line="276" w:lineRule="auto"/>
        <w:jc w:val="both"/>
        <w:rPr>
          <w:lang w:val="en-GB"/>
        </w:rPr>
      </w:pPr>
      <w:r w:rsidRPr="00FC4C8E">
        <w:rPr>
          <w:lang w:val="en-GB"/>
        </w:rPr>
        <w:t xml:space="preserve">With respect to the </w:t>
      </w:r>
      <w:r>
        <w:rPr>
          <w:lang w:val="en-GB"/>
        </w:rPr>
        <w:t xml:space="preserve">need and impact of introducing such an </w:t>
      </w:r>
      <w:proofErr w:type="gramStart"/>
      <w:r>
        <w:rPr>
          <w:lang w:val="en-GB"/>
        </w:rPr>
        <w:t>amendment</w:t>
      </w:r>
      <w:proofErr w:type="gramEnd"/>
      <w:r>
        <w:rPr>
          <w:lang w:val="en-GB"/>
        </w:rPr>
        <w:t xml:space="preserve"> the benefits of the amendment clearly overset the costs.  </w:t>
      </w:r>
    </w:p>
    <w:p w14:paraId="4E608950" w14:textId="0FD1B6EA" w:rsidR="007C4BFE" w:rsidRDefault="007C4BFE">
      <w:pPr>
        <w:numPr>
          <w:ilvl w:val="1"/>
          <w:numId w:val="10"/>
        </w:numPr>
        <w:autoSpaceDE w:val="0"/>
        <w:autoSpaceDN w:val="0"/>
        <w:adjustRightInd w:val="0"/>
        <w:spacing w:line="276" w:lineRule="auto"/>
        <w:jc w:val="both"/>
        <w:rPr>
          <w:lang w:val="en-GB"/>
        </w:rPr>
      </w:pPr>
      <w:proofErr w:type="gramStart"/>
      <w:r w:rsidRPr="008B40E9">
        <w:rPr>
          <w:lang w:val="en-GB"/>
        </w:rPr>
        <w:t xml:space="preserve">The previous requirement (name of ECAI as per ESMA website) was considered </w:t>
      </w:r>
      <w:r w:rsidR="007144B2">
        <w:rPr>
          <w:lang w:val="en-GB"/>
        </w:rPr>
        <w:t xml:space="preserve">by some stakeholders </w:t>
      </w:r>
      <w:r w:rsidRPr="008B40E9">
        <w:rPr>
          <w:lang w:val="en-GB"/>
        </w:rPr>
        <w:t>as impractical</w:t>
      </w:r>
      <w:proofErr w:type="gramEnd"/>
      <w:r w:rsidRPr="008B40E9">
        <w:rPr>
          <w:lang w:val="en-GB"/>
        </w:rPr>
        <w:t>, and a number of undertakings already reported the “parent” agency</w:t>
      </w:r>
      <w:r>
        <w:rPr>
          <w:lang w:val="en-GB"/>
        </w:rPr>
        <w:t xml:space="preserve"> for simplicity. </w:t>
      </w:r>
      <w:proofErr w:type="gramStart"/>
      <w:r w:rsidR="007144B2">
        <w:rPr>
          <w:lang w:val="en-GB"/>
        </w:rPr>
        <w:t>However</w:t>
      </w:r>
      <w:proofErr w:type="gramEnd"/>
      <w:r w:rsidR="007144B2">
        <w:rPr>
          <w:lang w:val="en-GB"/>
        </w:rPr>
        <w:t xml:space="preserve"> other stakeholders </w:t>
      </w:r>
      <w:r w:rsidR="007144B2" w:rsidRPr="00096173">
        <w:rPr>
          <w:lang w:val="en-GB"/>
        </w:rPr>
        <w:t>believe</w:t>
      </w:r>
      <w:r w:rsidR="007144B2">
        <w:rPr>
          <w:lang w:val="en-GB"/>
        </w:rPr>
        <w:t>d</w:t>
      </w:r>
      <w:r w:rsidR="007144B2" w:rsidRPr="00096173">
        <w:rPr>
          <w:lang w:val="en-GB"/>
        </w:rPr>
        <w:t xml:space="preserve"> that the list of subsidiaries from parent ECAIs should be provided in the close list</w:t>
      </w:r>
      <w:r w:rsidR="007144B2">
        <w:rPr>
          <w:lang w:val="en-GB"/>
        </w:rPr>
        <w:t>.</w:t>
      </w:r>
    </w:p>
    <w:p w14:paraId="28435204" w14:textId="0B3935C0" w:rsidR="007144B2" w:rsidRDefault="007C4BFE">
      <w:pPr>
        <w:numPr>
          <w:ilvl w:val="1"/>
          <w:numId w:val="10"/>
        </w:numPr>
        <w:autoSpaceDE w:val="0"/>
        <w:autoSpaceDN w:val="0"/>
        <w:adjustRightInd w:val="0"/>
        <w:spacing w:line="276" w:lineRule="auto"/>
        <w:jc w:val="both"/>
        <w:rPr>
          <w:lang w:val="en-GB"/>
        </w:rPr>
      </w:pPr>
      <w:proofErr w:type="gramStart"/>
      <w:r>
        <w:rPr>
          <w:lang w:val="en-GB"/>
        </w:rPr>
        <w:t>The introduction of a closed list w</w:t>
      </w:r>
      <w:r w:rsidR="007144B2">
        <w:rPr>
          <w:lang w:val="en-GB"/>
        </w:rPr>
        <w:t>as welcomed by stakeholders</w:t>
      </w:r>
      <w:proofErr w:type="gramEnd"/>
      <w:r w:rsidR="007144B2">
        <w:rPr>
          <w:lang w:val="en-GB"/>
        </w:rPr>
        <w:t xml:space="preserve">. </w:t>
      </w:r>
    </w:p>
    <w:p w14:paraId="3FEC7BEB" w14:textId="77777777" w:rsidR="007144B2" w:rsidRPr="00B70452" w:rsidRDefault="007144B2">
      <w:pPr>
        <w:numPr>
          <w:ilvl w:val="1"/>
          <w:numId w:val="10"/>
        </w:numPr>
        <w:autoSpaceDE w:val="0"/>
        <w:autoSpaceDN w:val="0"/>
        <w:adjustRightInd w:val="0"/>
        <w:spacing w:line="276" w:lineRule="auto"/>
        <w:jc w:val="both"/>
        <w:rPr>
          <w:lang w:val="en-GB"/>
        </w:rPr>
      </w:pPr>
      <w:r>
        <w:rPr>
          <w:lang w:val="en-GB"/>
        </w:rPr>
        <w:t xml:space="preserve">As </w:t>
      </w:r>
      <w:r w:rsidRPr="00B70452">
        <w:rPr>
          <w:lang w:val="en-GB"/>
        </w:rPr>
        <w:t>the proposal reflected a simplification to allow the use of a closed list with indication of the LEI code and not all subsidiaries will have a LEI code, the value added of having a closed list overcomes the loss of information on the subsidiaries of the ECAIs.</w:t>
      </w:r>
    </w:p>
    <w:p w14:paraId="59347559" w14:textId="636D654B" w:rsidR="007C4BFE" w:rsidRPr="007144B2" w:rsidRDefault="007C4BFE" w:rsidP="00B70452">
      <w:pPr>
        <w:autoSpaceDE w:val="0"/>
        <w:autoSpaceDN w:val="0"/>
        <w:adjustRightInd w:val="0"/>
        <w:spacing w:line="276" w:lineRule="auto"/>
        <w:ind w:left="720"/>
        <w:jc w:val="both"/>
        <w:rPr>
          <w:lang w:val="en-GB"/>
        </w:rPr>
      </w:pPr>
    </w:p>
    <w:sectPr w:rsidR="007C4BFE" w:rsidRPr="007144B2" w:rsidSect="00EE1105">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134" w:header="709" w:footer="357"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11EAFB" w15:done="0"/>
  <w15:commentEx w15:paraId="1109DCD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F93774" w14:textId="77777777" w:rsidR="00EB4791" w:rsidRDefault="00EB4791" w:rsidP="001320FD">
      <w:pPr>
        <w:spacing w:before="0" w:after="0"/>
      </w:pPr>
      <w:r>
        <w:separator/>
      </w:r>
    </w:p>
  </w:endnote>
  <w:endnote w:type="continuationSeparator" w:id="0">
    <w:p w14:paraId="36C41208" w14:textId="77777777" w:rsidR="00EB4791" w:rsidRDefault="00EB4791" w:rsidP="001320FD">
      <w:pPr>
        <w:spacing w:before="0" w:after="0"/>
      </w:pPr>
      <w:r>
        <w:continuationSeparator/>
      </w:r>
    </w:p>
  </w:endnote>
  <w:endnote w:type="continuationNotice" w:id="1">
    <w:p w14:paraId="302BDE65" w14:textId="77777777" w:rsidR="00EB4791" w:rsidRDefault="00EB479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49B46" w14:textId="77777777" w:rsidR="008D6585" w:rsidRDefault="008D65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25EB3" w14:textId="77777777" w:rsidR="00B2763E" w:rsidRPr="00B90099" w:rsidRDefault="00B2763E" w:rsidP="00B90099">
    <w:pPr>
      <w:pStyle w:val="Footer"/>
      <w:jc w:val="center"/>
      <w:rPr>
        <w:sz w:val="18"/>
        <w:szCs w:val="18"/>
      </w:rPr>
    </w:pPr>
    <w:r w:rsidRPr="00B90099">
      <w:rPr>
        <w:sz w:val="18"/>
        <w:szCs w:val="18"/>
      </w:rPr>
      <w:fldChar w:fldCharType="begin"/>
    </w:r>
    <w:r w:rsidRPr="00B90099">
      <w:rPr>
        <w:sz w:val="18"/>
        <w:szCs w:val="18"/>
      </w:rPr>
      <w:instrText xml:space="preserve"> PAGE  \* Arabic  \* MERGEFORMAT </w:instrText>
    </w:r>
    <w:r w:rsidRPr="00B90099">
      <w:rPr>
        <w:sz w:val="18"/>
        <w:szCs w:val="18"/>
      </w:rPr>
      <w:fldChar w:fldCharType="separate"/>
    </w:r>
    <w:r w:rsidR="00E1491C">
      <w:rPr>
        <w:noProof/>
        <w:sz w:val="18"/>
        <w:szCs w:val="18"/>
      </w:rPr>
      <w:t>14</w:t>
    </w:r>
    <w:r w:rsidRPr="00B90099">
      <w:rPr>
        <w:sz w:val="18"/>
        <w:szCs w:val="18"/>
      </w:rPr>
      <w:fldChar w:fldCharType="end"/>
    </w:r>
    <w:r w:rsidRPr="00B90099">
      <w:rPr>
        <w:sz w:val="18"/>
        <w:szCs w:val="18"/>
      </w:rPr>
      <w:t>/</w:t>
    </w:r>
    <w:r w:rsidRPr="00B90099">
      <w:rPr>
        <w:sz w:val="18"/>
        <w:szCs w:val="18"/>
      </w:rPr>
      <w:fldChar w:fldCharType="begin"/>
    </w:r>
    <w:r w:rsidRPr="00B90099">
      <w:rPr>
        <w:sz w:val="18"/>
        <w:szCs w:val="18"/>
      </w:rPr>
      <w:instrText xml:space="preserve"> NUMPAGES   \* MERGEFORMAT </w:instrText>
    </w:r>
    <w:r w:rsidRPr="00B90099">
      <w:rPr>
        <w:sz w:val="18"/>
        <w:szCs w:val="18"/>
      </w:rPr>
      <w:fldChar w:fldCharType="separate"/>
    </w:r>
    <w:r w:rsidR="00E1491C">
      <w:rPr>
        <w:noProof/>
        <w:sz w:val="18"/>
        <w:szCs w:val="18"/>
      </w:rPr>
      <w:t>14</w:t>
    </w:r>
    <w:r w:rsidRPr="00B90099">
      <w:rPr>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25EB4" w14:textId="77777777" w:rsidR="00B2763E" w:rsidRPr="00B90099" w:rsidRDefault="00B2763E" w:rsidP="00BD0778">
    <w:pPr>
      <w:pStyle w:val="Footer"/>
      <w:jc w:val="center"/>
      <w:rPr>
        <w:sz w:val="18"/>
        <w:szCs w:val="18"/>
      </w:rPr>
    </w:pPr>
    <w:r w:rsidRPr="00B90099">
      <w:rPr>
        <w:sz w:val="18"/>
        <w:szCs w:val="18"/>
      </w:rPr>
      <w:fldChar w:fldCharType="begin"/>
    </w:r>
    <w:r w:rsidRPr="00B90099">
      <w:rPr>
        <w:sz w:val="18"/>
        <w:szCs w:val="18"/>
      </w:rPr>
      <w:instrText xml:space="preserve"> PAGE  \* Arabic  \* MERGEFORMAT </w:instrText>
    </w:r>
    <w:r w:rsidRPr="00B90099">
      <w:rPr>
        <w:sz w:val="18"/>
        <w:szCs w:val="18"/>
      </w:rPr>
      <w:fldChar w:fldCharType="separate"/>
    </w:r>
    <w:r w:rsidR="00E1491C">
      <w:rPr>
        <w:noProof/>
        <w:sz w:val="18"/>
        <w:szCs w:val="18"/>
      </w:rPr>
      <w:t>1</w:t>
    </w:r>
    <w:r w:rsidRPr="00B90099">
      <w:rPr>
        <w:sz w:val="18"/>
        <w:szCs w:val="18"/>
      </w:rPr>
      <w:fldChar w:fldCharType="end"/>
    </w:r>
    <w:r w:rsidRPr="00B90099">
      <w:rPr>
        <w:sz w:val="18"/>
        <w:szCs w:val="18"/>
      </w:rPr>
      <w:t>/</w:t>
    </w:r>
    <w:r w:rsidRPr="00B90099">
      <w:rPr>
        <w:sz w:val="18"/>
        <w:szCs w:val="18"/>
      </w:rPr>
      <w:fldChar w:fldCharType="begin"/>
    </w:r>
    <w:r w:rsidRPr="00B90099">
      <w:rPr>
        <w:sz w:val="18"/>
        <w:szCs w:val="18"/>
      </w:rPr>
      <w:instrText xml:space="preserve"> NUMPAGES   \* MERGEFORMAT </w:instrText>
    </w:r>
    <w:r w:rsidRPr="00B90099">
      <w:rPr>
        <w:sz w:val="18"/>
        <w:szCs w:val="18"/>
      </w:rPr>
      <w:fldChar w:fldCharType="separate"/>
    </w:r>
    <w:r w:rsidR="00E1491C">
      <w:rPr>
        <w:noProof/>
        <w:sz w:val="18"/>
        <w:szCs w:val="18"/>
      </w:rPr>
      <w:t>14</w:t>
    </w:r>
    <w:r w:rsidRPr="00B90099">
      <w:rPr>
        <w:noProof/>
        <w:sz w:val="18"/>
        <w:szCs w:val="18"/>
      </w:rPr>
      <w:fldChar w:fldCharType="end"/>
    </w:r>
  </w:p>
  <w:p w14:paraId="25125EB5" w14:textId="77777777" w:rsidR="00B2763E" w:rsidRPr="00FB50AB" w:rsidRDefault="00B2763E" w:rsidP="00B90099">
    <w:pPr>
      <w:pStyle w:val="Footer"/>
      <w:jc w:val="center"/>
      <w:rPr>
        <w:sz w:val="18"/>
        <w:szCs w:val="18"/>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493BC4" w14:textId="77777777" w:rsidR="00EB4791" w:rsidRDefault="00EB4791" w:rsidP="001320FD">
      <w:pPr>
        <w:spacing w:before="0" w:after="0"/>
      </w:pPr>
      <w:r>
        <w:separator/>
      </w:r>
    </w:p>
  </w:footnote>
  <w:footnote w:type="continuationSeparator" w:id="0">
    <w:p w14:paraId="5EDD7DA7" w14:textId="77777777" w:rsidR="00EB4791" w:rsidRDefault="00EB4791" w:rsidP="001320FD">
      <w:pPr>
        <w:spacing w:before="0" w:after="0"/>
      </w:pPr>
      <w:r>
        <w:continuationSeparator/>
      </w:r>
    </w:p>
  </w:footnote>
  <w:footnote w:type="continuationNotice" w:id="1">
    <w:p w14:paraId="5F8E8124" w14:textId="77777777" w:rsidR="00EB4791" w:rsidRDefault="00EB4791">
      <w:pPr>
        <w:spacing w:before="0" w:after="0"/>
      </w:pPr>
    </w:p>
  </w:footnote>
  <w:footnote w:id="2">
    <w:p w14:paraId="03A5ABBC" w14:textId="12AD15E0" w:rsidR="002768BA" w:rsidRPr="008D6585" w:rsidRDefault="002768BA">
      <w:pPr>
        <w:pStyle w:val="FootnoteText"/>
        <w:rPr>
          <w:lang w:val="en-GB"/>
        </w:rPr>
      </w:pPr>
      <w:r>
        <w:rPr>
          <w:rStyle w:val="FootnoteReference"/>
        </w:rPr>
        <w:footnoteRef/>
      </w:r>
      <w:r>
        <w:t xml:space="preserve"> </w:t>
      </w:r>
      <w:r w:rsidRPr="002768BA">
        <w:t>https://dev.eiopa.europa.eu/Taxonomy/Full/common/EIOPA_Public_2017_Taxonomy_Governance_and_Schedule.pdf</w:t>
      </w:r>
    </w:p>
  </w:footnote>
  <w:footnote w:id="3">
    <w:p w14:paraId="3C702F02" w14:textId="7EC24249" w:rsidR="002768BA" w:rsidRPr="00365078" w:rsidRDefault="002768BA">
      <w:pPr>
        <w:pStyle w:val="FootnoteText"/>
        <w:rPr>
          <w:lang w:val="en-GB"/>
        </w:rPr>
      </w:pPr>
      <w:r>
        <w:rPr>
          <w:rStyle w:val="FootnoteReference"/>
        </w:rPr>
        <w:footnoteRef/>
      </w:r>
      <w:r w:rsidRPr="008D6585">
        <w:rPr>
          <w:lang w:val="en-GB"/>
        </w:rPr>
        <w:t xml:space="preserve"> </w:t>
      </w:r>
      <w:r w:rsidRPr="00365078">
        <w:rPr>
          <w:lang w:val="en-GB"/>
        </w:rPr>
        <w:t>https://eiopa.europa.eu/regulation-supervision/insurance/reporting-format</w:t>
      </w:r>
    </w:p>
  </w:footnote>
  <w:footnote w:id="4">
    <w:p w14:paraId="6A7B9F03" w14:textId="40FFE094" w:rsidR="00956670" w:rsidRPr="001E1B01" w:rsidRDefault="00956670">
      <w:pPr>
        <w:pStyle w:val="FootnoteText"/>
        <w:rPr>
          <w:lang w:val="en-GB"/>
        </w:rPr>
      </w:pPr>
      <w:r>
        <w:rPr>
          <w:rStyle w:val="FootnoteReference"/>
        </w:rPr>
        <w:footnoteRef/>
      </w:r>
      <w:r w:rsidRPr="008D6585">
        <w:rPr>
          <w:lang w:val="en-GB"/>
        </w:rPr>
        <w:t xml:space="preserve"> </w:t>
      </w:r>
      <w:hyperlink r:id="rId1" w:history="1">
        <w:r w:rsidRPr="008D6585">
          <w:rPr>
            <w:rStyle w:val="Bold"/>
            <w:b w:val="0"/>
            <w:lang w:val="en-GB"/>
          </w:rPr>
          <w:t>https://registers.esma.europa.eu/publication/searchRegister?core=esma_registers_radar</w:t>
        </w:r>
      </w:hyperlink>
      <w:r w:rsidRPr="008D6585">
        <w:rPr>
          <w:rStyle w:val="Bold"/>
          <w:b w:val="0"/>
          <w:lang w:val="en-GB"/>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C28896" w14:textId="77777777" w:rsidR="008D6585" w:rsidRDefault="008D65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3B7E4" w14:textId="77777777" w:rsidR="008D6585" w:rsidRDefault="008D658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D0DF7" w14:textId="77777777" w:rsidR="008D6585" w:rsidRDefault="008D65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7DEC8B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8DB74D9"/>
    <w:multiLevelType w:val="hybridMultilevel"/>
    <w:tmpl w:val="D2ACA96C"/>
    <w:lvl w:ilvl="0" w:tplc="0407000F">
      <w:start w:val="1"/>
      <w:numFmt w:val="decimal"/>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2">
    <w:nsid w:val="0F711CBC"/>
    <w:multiLevelType w:val="hybridMultilevel"/>
    <w:tmpl w:val="3D880146"/>
    <w:lvl w:ilvl="0" w:tplc="B5A62FB2">
      <w:start w:val="1"/>
      <w:numFmt w:val="bullet"/>
      <w:pStyle w:val="ContinuousSquareBullet"/>
      <w:lvlText w:val="•"/>
      <w:lvlJc w:val="left"/>
      <w:pPr>
        <w:tabs>
          <w:tab w:val="num" w:pos="720"/>
        </w:tabs>
        <w:ind w:left="720" w:hanging="360"/>
      </w:pPr>
      <w:rPr>
        <w:rFonts w:ascii="Times New Roman" w:hAnsi="Times New Roman" w:hint="default"/>
      </w:rPr>
    </w:lvl>
    <w:lvl w:ilvl="1" w:tplc="22964E38">
      <w:start w:val="139"/>
      <w:numFmt w:val="bullet"/>
      <w:lvlText w:val=""/>
      <w:lvlJc w:val="left"/>
      <w:pPr>
        <w:tabs>
          <w:tab w:val="num" w:pos="1440"/>
        </w:tabs>
        <w:ind w:left="1440" w:hanging="360"/>
      </w:pPr>
      <w:rPr>
        <w:rFonts w:ascii="Wingdings" w:hAnsi="Wingdings" w:hint="default"/>
      </w:rPr>
    </w:lvl>
    <w:lvl w:ilvl="2" w:tplc="118C69AE" w:tentative="1">
      <w:start w:val="1"/>
      <w:numFmt w:val="bullet"/>
      <w:lvlText w:val="•"/>
      <w:lvlJc w:val="left"/>
      <w:pPr>
        <w:tabs>
          <w:tab w:val="num" w:pos="2160"/>
        </w:tabs>
        <w:ind w:left="2160" w:hanging="360"/>
      </w:pPr>
      <w:rPr>
        <w:rFonts w:ascii="Times New Roman" w:hAnsi="Times New Roman" w:hint="default"/>
      </w:rPr>
    </w:lvl>
    <w:lvl w:ilvl="3" w:tplc="8F74E17C" w:tentative="1">
      <w:start w:val="1"/>
      <w:numFmt w:val="bullet"/>
      <w:lvlText w:val="•"/>
      <w:lvlJc w:val="left"/>
      <w:pPr>
        <w:tabs>
          <w:tab w:val="num" w:pos="2880"/>
        </w:tabs>
        <w:ind w:left="2880" w:hanging="360"/>
      </w:pPr>
      <w:rPr>
        <w:rFonts w:ascii="Times New Roman" w:hAnsi="Times New Roman" w:hint="default"/>
      </w:rPr>
    </w:lvl>
    <w:lvl w:ilvl="4" w:tplc="180A7674" w:tentative="1">
      <w:start w:val="1"/>
      <w:numFmt w:val="bullet"/>
      <w:lvlText w:val="•"/>
      <w:lvlJc w:val="left"/>
      <w:pPr>
        <w:tabs>
          <w:tab w:val="num" w:pos="3600"/>
        </w:tabs>
        <w:ind w:left="3600" w:hanging="360"/>
      </w:pPr>
      <w:rPr>
        <w:rFonts w:ascii="Times New Roman" w:hAnsi="Times New Roman" w:hint="default"/>
      </w:rPr>
    </w:lvl>
    <w:lvl w:ilvl="5" w:tplc="A8EA8994" w:tentative="1">
      <w:start w:val="1"/>
      <w:numFmt w:val="bullet"/>
      <w:lvlText w:val="•"/>
      <w:lvlJc w:val="left"/>
      <w:pPr>
        <w:tabs>
          <w:tab w:val="num" w:pos="4320"/>
        </w:tabs>
        <w:ind w:left="4320" w:hanging="360"/>
      </w:pPr>
      <w:rPr>
        <w:rFonts w:ascii="Times New Roman" w:hAnsi="Times New Roman" w:hint="default"/>
      </w:rPr>
    </w:lvl>
    <w:lvl w:ilvl="6" w:tplc="5832CEB8" w:tentative="1">
      <w:start w:val="1"/>
      <w:numFmt w:val="bullet"/>
      <w:lvlText w:val="•"/>
      <w:lvlJc w:val="left"/>
      <w:pPr>
        <w:tabs>
          <w:tab w:val="num" w:pos="5040"/>
        </w:tabs>
        <w:ind w:left="5040" w:hanging="360"/>
      </w:pPr>
      <w:rPr>
        <w:rFonts w:ascii="Times New Roman" w:hAnsi="Times New Roman" w:hint="default"/>
      </w:rPr>
    </w:lvl>
    <w:lvl w:ilvl="7" w:tplc="1C3C6BCA" w:tentative="1">
      <w:start w:val="1"/>
      <w:numFmt w:val="bullet"/>
      <w:lvlText w:val="•"/>
      <w:lvlJc w:val="left"/>
      <w:pPr>
        <w:tabs>
          <w:tab w:val="num" w:pos="5760"/>
        </w:tabs>
        <w:ind w:left="5760" w:hanging="360"/>
      </w:pPr>
      <w:rPr>
        <w:rFonts w:ascii="Times New Roman" w:hAnsi="Times New Roman" w:hint="default"/>
      </w:rPr>
    </w:lvl>
    <w:lvl w:ilvl="8" w:tplc="B5448FD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345700F"/>
    <w:multiLevelType w:val="multilevel"/>
    <w:tmpl w:val="F99EBB38"/>
    <w:lvl w:ilvl="0">
      <w:start w:val="1"/>
      <w:numFmt w:val="decimal"/>
      <w:lvlText w:val="%1."/>
      <w:lvlJc w:val="left"/>
      <w:pPr>
        <w:ind w:left="450" w:hanging="450"/>
      </w:pPr>
      <w:rPr>
        <w:rFonts w:hint="default"/>
      </w:rPr>
    </w:lvl>
    <w:lvl w:ilvl="1">
      <w:start w:val="1"/>
      <w:numFmt w:val="decimal"/>
      <w:lvlText w:val="%1.%2."/>
      <w:lvlJc w:val="left"/>
      <w:pPr>
        <w:ind w:left="720" w:hanging="720"/>
      </w:pPr>
      <w:rPr>
        <w:rFonts w:ascii="Verdana" w:hAnsi="Verdana" w:hint="default"/>
        <w:b w:val="0"/>
        <w:sz w:val="22"/>
        <w:szCs w:val="22"/>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nsid w:val="1B180EB8"/>
    <w:multiLevelType w:val="singleLevel"/>
    <w:tmpl w:val="42EA90DA"/>
    <w:lvl w:ilvl="0">
      <w:start w:val="1"/>
      <w:numFmt w:val="decimal"/>
      <w:lvlRestart w:val="0"/>
      <w:pStyle w:val="ConsultationItalic"/>
      <w:lvlText w:val="(%1)"/>
      <w:lvlJc w:val="left"/>
      <w:pPr>
        <w:tabs>
          <w:tab w:val="num" w:pos="709"/>
        </w:tabs>
        <w:ind w:left="709" w:hanging="709"/>
      </w:pPr>
    </w:lvl>
  </w:abstractNum>
  <w:abstractNum w:abstractNumId="5">
    <w:nsid w:val="23EB387F"/>
    <w:multiLevelType w:val="hybridMultilevel"/>
    <w:tmpl w:val="48C2C9F2"/>
    <w:lvl w:ilvl="0" w:tplc="F3780D36">
      <w:start w:val="1"/>
      <w:numFmt w:val="bullet"/>
      <w:pStyle w:val="Bulletpoints3"/>
      <w:lvlText w:val=""/>
      <w:lvlJc w:val="left"/>
      <w:pPr>
        <w:ind w:left="890" w:hanging="360"/>
      </w:pPr>
      <w:rPr>
        <w:rFonts w:ascii="Symbol" w:hAnsi="Symbol" w:hint="default"/>
      </w:rPr>
    </w:lvl>
    <w:lvl w:ilvl="1" w:tplc="08090003" w:tentative="1">
      <w:start w:val="1"/>
      <w:numFmt w:val="bullet"/>
      <w:lvlText w:val="o"/>
      <w:lvlJc w:val="left"/>
      <w:pPr>
        <w:ind w:left="1610" w:hanging="360"/>
      </w:pPr>
      <w:rPr>
        <w:rFonts w:ascii="Courier New" w:hAnsi="Courier New" w:cs="Courier New" w:hint="default"/>
      </w:rPr>
    </w:lvl>
    <w:lvl w:ilvl="2" w:tplc="08090005" w:tentative="1">
      <w:start w:val="1"/>
      <w:numFmt w:val="bullet"/>
      <w:lvlText w:val=""/>
      <w:lvlJc w:val="left"/>
      <w:pPr>
        <w:ind w:left="2330" w:hanging="360"/>
      </w:pPr>
      <w:rPr>
        <w:rFonts w:ascii="Wingdings" w:hAnsi="Wingdings" w:hint="default"/>
      </w:rPr>
    </w:lvl>
    <w:lvl w:ilvl="3" w:tplc="08090001" w:tentative="1">
      <w:start w:val="1"/>
      <w:numFmt w:val="bullet"/>
      <w:lvlText w:val=""/>
      <w:lvlJc w:val="left"/>
      <w:pPr>
        <w:ind w:left="3050" w:hanging="360"/>
      </w:pPr>
      <w:rPr>
        <w:rFonts w:ascii="Symbol" w:hAnsi="Symbol" w:hint="default"/>
      </w:rPr>
    </w:lvl>
    <w:lvl w:ilvl="4" w:tplc="08090003" w:tentative="1">
      <w:start w:val="1"/>
      <w:numFmt w:val="bullet"/>
      <w:lvlText w:val="o"/>
      <w:lvlJc w:val="left"/>
      <w:pPr>
        <w:ind w:left="3770" w:hanging="360"/>
      </w:pPr>
      <w:rPr>
        <w:rFonts w:ascii="Courier New" w:hAnsi="Courier New" w:cs="Courier New" w:hint="default"/>
      </w:rPr>
    </w:lvl>
    <w:lvl w:ilvl="5" w:tplc="08090005" w:tentative="1">
      <w:start w:val="1"/>
      <w:numFmt w:val="bullet"/>
      <w:lvlText w:val=""/>
      <w:lvlJc w:val="left"/>
      <w:pPr>
        <w:ind w:left="4490" w:hanging="360"/>
      </w:pPr>
      <w:rPr>
        <w:rFonts w:ascii="Wingdings" w:hAnsi="Wingdings" w:hint="default"/>
      </w:rPr>
    </w:lvl>
    <w:lvl w:ilvl="6" w:tplc="08090001" w:tentative="1">
      <w:start w:val="1"/>
      <w:numFmt w:val="bullet"/>
      <w:lvlText w:val=""/>
      <w:lvlJc w:val="left"/>
      <w:pPr>
        <w:ind w:left="5210" w:hanging="360"/>
      </w:pPr>
      <w:rPr>
        <w:rFonts w:ascii="Symbol" w:hAnsi="Symbol" w:hint="default"/>
      </w:rPr>
    </w:lvl>
    <w:lvl w:ilvl="7" w:tplc="08090003" w:tentative="1">
      <w:start w:val="1"/>
      <w:numFmt w:val="bullet"/>
      <w:lvlText w:val="o"/>
      <w:lvlJc w:val="left"/>
      <w:pPr>
        <w:ind w:left="5930" w:hanging="360"/>
      </w:pPr>
      <w:rPr>
        <w:rFonts w:ascii="Courier New" w:hAnsi="Courier New" w:cs="Courier New" w:hint="default"/>
      </w:rPr>
    </w:lvl>
    <w:lvl w:ilvl="8" w:tplc="08090005" w:tentative="1">
      <w:start w:val="1"/>
      <w:numFmt w:val="bullet"/>
      <w:lvlText w:val=""/>
      <w:lvlJc w:val="left"/>
      <w:pPr>
        <w:ind w:left="6650" w:hanging="360"/>
      </w:pPr>
      <w:rPr>
        <w:rFonts w:ascii="Wingdings" w:hAnsi="Wingdings" w:hint="default"/>
      </w:rPr>
    </w:lvl>
  </w:abstractNum>
  <w:abstractNum w:abstractNumId="6">
    <w:nsid w:val="2B981DA6"/>
    <w:multiLevelType w:val="hybridMultilevel"/>
    <w:tmpl w:val="605C0894"/>
    <w:lvl w:ilvl="0" w:tplc="DC20374C">
      <w:start w:val="1"/>
      <w:numFmt w:val="decimal"/>
      <w:pStyle w:val="Numberedparagraph"/>
      <w:lvlText w:val="%1."/>
      <w:lvlJc w:val="left"/>
      <w:pPr>
        <w:tabs>
          <w:tab w:val="num" w:pos="0"/>
        </w:tabs>
        <w:ind w:left="0" w:hanging="567"/>
      </w:pPr>
      <w:rPr>
        <w:rFonts w:ascii="Arial" w:hAnsi="Arial" w:hint="default"/>
        <w:b w:val="0"/>
        <w:i w:val="0"/>
        <w:color w:val="auto"/>
        <w:sz w:val="22"/>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B753C9E"/>
    <w:multiLevelType w:val="hybridMultilevel"/>
    <w:tmpl w:val="7E68FE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nsid w:val="43705BA3"/>
    <w:multiLevelType w:val="multilevel"/>
    <w:tmpl w:val="61709C58"/>
    <w:lvl w:ilvl="0">
      <w:start w:val="1"/>
      <w:numFmt w:val="lowerLetter"/>
      <w:lvlText w:val="%1)"/>
      <w:lvlJc w:val="left"/>
      <w:pPr>
        <w:ind w:left="450" w:hanging="450"/>
      </w:pPr>
      <w:rPr>
        <w:rFonts w:ascii="Verdana" w:hAnsi="Verdana" w:hint="default"/>
        <w:sz w:val="20"/>
      </w:rPr>
    </w:lvl>
    <w:lvl w:ilvl="1">
      <w:start w:val="1"/>
      <w:numFmt w:val="decimal"/>
      <w:lvlText w:val="%1.%2."/>
      <w:lvlJc w:val="left"/>
      <w:pPr>
        <w:ind w:left="720" w:hanging="720"/>
      </w:pPr>
      <w:rPr>
        <w:rFonts w:ascii="Verdana" w:hAnsi="Verdana" w:hint="default"/>
        <w:b w:val="0"/>
        <w:sz w:val="22"/>
        <w:szCs w:val="22"/>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
    <w:nsid w:val="48B51A99"/>
    <w:multiLevelType w:val="hybridMultilevel"/>
    <w:tmpl w:val="06FA1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A9F7ACF"/>
    <w:multiLevelType w:val="multilevel"/>
    <w:tmpl w:val="086A43F6"/>
    <w:styleLink w:val="Style12"/>
    <w:lvl w:ilvl="0">
      <w:start w:val="1"/>
      <w:numFmt w:val="lowerLetter"/>
      <w:lvlText w:val="%1)"/>
      <w:lvlJc w:val="left"/>
      <w:pPr>
        <w:ind w:left="0" w:firstLine="0"/>
      </w:pPr>
      <w:rPr>
        <w:rFonts w:ascii="Verdana" w:hAnsi="Verdana" w:hint="default"/>
        <w:b w:val="0"/>
        <w:i w:val="0"/>
        <w:caps w:val="0"/>
        <w:strike w:val="0"/>
        <w:dstrike w:val="0"/>
        <w:vanish w:val="0"/>
        <w:color w:val="auto"/>
        <w:sz w:val="22"/>
        <w:szCs w:val="24"/>
        <w:vertAlign w:val="baseline"/>
      </w:rPr>
    </w:lvl>
    <w:lvl w:ilvl="1">
      <w:start w:val="1"/>
      <w:numFmt w:val="decimal"/>
      <w:lvlText w:val="%1.%2."/>
      <w:lvlJc w:val="left"/>
      <w:pPr>
        <w:ind w:left="737" w:hanging="737"/>
      </w:pPr>
      <w:rPr>
        <w:rFonts w:hint="default"/>
      </w:rPr>
    </w:lvl>
    <w:lvl w:ilvl="2">
      <w:start w:val="1"/>
      <w:numFmt w:val="decimal"/>
      <w:lvlText w:val="%1.%2.%3."/>
      <w:lvlJc w:val="left"/>
      <w:pPr>
        <w:ind w:left="1191" w:hanging="1191"/>
      </w:pPr>
      <w:rPr>
        <w:rFonts w:hint="default"/>
      </w:rPr>
    </w:lvl>
    <w:lvl w:ilvl="3">
      <w:start w:val="1"/>
      <w:numFmt w:val="decimal"/>
      <w:lvlText w:val="%1.%2.%3.%4."/>
      <w:lvlJc w:val="left"/>
      <w:pPr>
        <w:ind w:left="1588" w:hanging="1588"/>
      </w:pPr>
      <w:rPr>
        <w:rFonts w:hint="default"/>
      </w:rPr>
    </w:lvl>
    <w:lvl w:ilvl="4">
      <w:start w:val="1"/>
      <w:numFmt w:val="lowerLetter"/>
      <w:lvlText w:val="(%5)"/>
      <w:lvlJc w:val="left"/>
      <w:pPr>
        <w:ind w:left="1428" w:firstLine="0"/>
      </w:pPr>
      <w:rPr>
        <w:rFonts w:hint="default"/>
      </w:rPr>
    </w:lvl>
    <w:lvl w:ilvl="5">
      <w:start w:val="1"/>
      <w:numFmt w:val="lowerRoman"/>
      <w:lvlText w:val="(%6)"/>
      <w:lvlJc w:val="left"/>
      <w:pPr>
        <w:ind w:left="1785" w:firstLine="0"/>
      </w:pPr>
      <w:rPr>
        <w:rFonts w:hint="default"/>
      </w:rPr>
    </w:lvl>
    <w:lvl w:ilvl="6">
      <w:start w:val="1"/>
      <w:numFmt w:val="decimal"/>
      <w:lvlText w:val="%7."/>
      <w:lvlJc w:val="left"/>
      <w:pPr>
        <w:ind w:left="2142" w:firstLine="0"/>
      </w:pPr>
      <w:rPr>
        <w:rFonts w:hint="default"/>
      </w:rPr>
    </w:lvl>
    <w:lvl w:ilvl="7">
      <w:start w:val="1"/>
      <w:numFmt w:val="lowerLetter"/>
      <w:lvlText w:val="%8."/>
      <w:lvlJc w:val="left"/>
      <w:pPr>
        <w:ind w:left="2499" w:firstLine="0"/>
      </w:pPr>
      <w:rPr>
        <w:rFonts w:hint="default"/>
      </w:rPr>
    </w:lvl>
    <w:lvl w:ilvl="8">
      <w:start w:val="1"/>
      <w:numFmt w:val="lowerRoman"/>
      <w:lvlText w:val="%9."/>
      <w:lvlJc w:val="left"/>
      <w:pPr>
        <w:ind w:left="2856" w:firstLine="0"/>
      </w:pPr>
      <w:rPr>
        <w:rFonts w:hint="default"/>
      </w:rPr>
    </w:lvl>
  </w:abstractNum>
  <w:abstractNum w:abstractNumId="11">
    <w:nsid w:val="57E77C0F"/>
    <w:multiLevelType w:val="multilevel"/>
    <w:tmpl w:val="61709C58"/>
    <w:lvl w:ilvl="0">
      <w:start w:val="1"/>
      <w:numFmt w:val="lowerLetter"/>
      <w:lvlText w:val="%1)"/>
      <w:lvlJc w:val="left"/>
      <w:pPr>
        <w:ind w:left="450" w:hanging="450"/>
      </w:pPr>
      <w:rPr>
        <w:rFonts w:ascii="Verdana" w:hAnsi="Verdana" w:hint="default"/>
        <w:sz w:val="20"/>
      </w:rPr>
    </w:lvl>
    <w:lvl w:ilvl="1">
      <w:start w:val="1"/>
      <w:numFmt w:val="decimal"/>
      <w:lvlText w:val="%1.%2."/>
      <w:lvlJc w:val="left"/>
      <w:pPr>
        <w:ind w:left="720" w:hanging="720"/>
      </w:pPr>
      <w:rPr>
        <w:rFonts w:ascii="Verdana" w:hAnsi="Verdana" w:hint="default"/>
        <w:b w:val="0"/>
        <w:sz w:val="22"/>
        <w:szCs w:val="22"/>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nsid w:val="5C8C3BDB"/>
    <w:multiLevelType w:val="multilevel"/>
    <w:tmpl w:val="92E6FCC4"/>
    <w:lvl w:ilvl="0">
      <w:start w:val="1"/>
      <w:numFmt w:val="decimal"/>
      <w:pStyle w:val="AlineasCEIOPS"/>
      <w:lvlText w:val="%1."/>
      <w:lvlJc w:val="left"/>
      <w:pPr>
        <w:tabs>
          <w:tab w:val="num" w:pos="567"/>
        </w:tabs>
        <w:ind w:left="357" w:hanging="357"/>
      </w:pPr>
      <w:rPr>
        <w:rFonts w:hint="default"/>
        <w:b w:val="0"/>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623E3913"/>
    <w:multiLevelType w:val="multilevel"/>
    <w:tmpl w:val="D64A94A8"/>
    <w:lvl w:ilvl="0">
      <w:start w:val="1"/>
      <w:numFmt w:val="decimal"/>
      <w:lvlText w:val="%1."/>
      <w:lvlJc w:val="left"/>
      <w:pPr>
        <w:ind w:left="390" w:hanging="390"/>
      </w:pPr>
      <w:rPr>
        <w:rFonts w:hint="default"/>
      </w:rPr>
    </w:lvl>
    <w:lvl w:ilvl="1">
      <w:start w:val="1"/>
      <w:numFmt w:val="bullet"/>
      <w:lvlText w:val=""/>
      <w:lvlJc w:val="left"/>
      <w:pPr>
        <w:ind w:left="720" w:hanging="720"/>
      </w:pPr>
      <w:rPr>
        <w:rFonts w:ascii="Symbol" w:hAnsi="Symbol"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nsid w:val="62D00D30"/>
    <w:multiLevelType w:val="hybridMultilevel"/>
    <w:tmpl w:val="1A4C1D1E"/>
    <w:lvl w:ilvl="0" w:tplc="D1926A72">
      <w:start w:val="1"/>
      <w:numFmt w:val="bullet"/>
      <w:lvlText w:val="-"/>
      <w:lvlJc w:val="left"/>
      <w:pPr>
        <w:ind w:left="720" w:hanging="360"/>
      </w:pPr>
      <w:rPr>
        <w:rFonts w:ascii="Verdana" w:eastAsiaTheme="minorHAnsi" w:hAnsi="Verdana"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3FC0A72"/>
    <w:multiLevelType w:val="multilevel"/>
    <w:tmpl w:val="D352A25A"/>
    <w:lvl w:ilvl="0">
      <w:start w:val="1"/>
      <w:numFmt w:val="lowerLetter"/>
      <w:lvlText w:val="%1)"/>
      <w:lvlJc w:val="left"/>
      <w:pPr>
        <w:ind w:left="450" w:hanging="450"/>
      </w:pPr>
      <w:rPr>
        <w:rFonts w:ascii="Verdana" w:hAnsi="Verdana" w:hint="default"/>
        <w:sz w:val="20"/>
      </w:rPr>
    </w:lvl>
    <w:lvl w:ilvl="1">
      <w:start w:val="1"/>
      <w:numFmt w:val="decimal"/>
      <w:lvlText w:val="%1.%2."/>
      <w:lvlJc w:val="left"/>
      <w:pPr>
        <w:ind w:left="720" w:hanging="720"/>
      </w:pPr>
      <w:rPr>
        <w:rFonts w:ascii="Verdana" w:hAnsi="Verdana" w:hint="default"/>
        <w:b w:val="0"/>
        <w:sz w:val="22"/>
        <w:szCs w:val="22"/>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nsid w:val="69995580"/>
    <w:multiLevelType w:val="singleLevel"/>
    <w:tmpl w:val="04C8E0E4"/>
    <w:name w:val="Bullet 0"/>
    <w:lvl w:ilvl="0">
      <w:start w:val="52"/>
      <w:numFmt w:val="decimal"/>
      <w:lvlRestart w:val="0"/>
      <w:pStyle w:val="Considrant"/>
      <w:lvlText w:val="(%1)"/>
      <w:lvlJc w:val="left"/>
      <w:pPr>
        <w:tabs>
          <w:tab w:val="num" w:pos="709"/>
        </w:tabs>
        <w:ind w:left="709" w:hanging="709"/>
      </w:pPr>
      <w:rPr>
        <w:rFonts w:hint="default"/>
      </w:rPr>
    </w:lvl>
  </w:abstractNum>
  <w:abstractNum w:abstractNumId="17">
    <w:nsid w:val="6C14161C"/>
    <w:multiLevelType w:val="hybridMultilevel"/>
    <w:tmpl w:val="B3D200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16F0927"/>
    <w:multiLevelType w:val="hybridMultilevel"/>
    <w:tmpl w:val="BED6AE00"/>
    <w:lvl w:ilvl="0" w:tplc="04090017">
      <w:start w:val="1"/>
      <w:numFmt w:val="lowerLetter"/>
      <w:pStyle w:val="NumPar1"/>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2981088"/>
    <w:multiLevelType w:val="multilevel"/>
    <w:tmpl w:val="D3200074"/>
    <w:name w:val="Considérant__1222222"/>
    <w:styleLink w:val="Style1"/>
    <w:lvl w:ilvl="0">
      <w:start w:val="1"/>
      <w:numFmt w:val="decimal"/>
      <w:lvlText w:val="%1."/>
      <w:lvlJc w:val="left"/>
      <w:pPr>
        <w:ind w:left="0" w:firstLine="0"/>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1191" w:hanging="1191"/>
      </w:pPr>
      <w:rPr>
        <w:rFonts w:hint="default"/>
      </w:rPr>
    </w:lvl>
    <w:lvl w:ilvl="3">
      <w:start w:val="1"/>
      <w:numFmt w:val="decimal"/>
      <w:lvlText w:val="%1.%2.%3.%4."/>
      <w:lvlJc w:val="left"/>
      <w:pPr>
        <w:ind w:left="1588" w:hanging="1588"/>
      </w:pPr>
      <w:rPr>
        <w:rFonts w:hint="default"/>
      </w:rPr>
    </w:lvl>
    <w:lvl w:ilvl="4">
      <w:start w:val="1"/>
      <w:numFmt w:val="lowerLetter"/>
      <w:lvlText w:val="(%5)"/>
      <w:lvlJc w:val="left"/>
      <w:pPr>
        <w:ind w:left="1428" w:firstLine="0"/>
      </w:pPr>
      <w:rPr>
        <w:rFonts w:hint="default"/>
      </w:rPr>
    </w:lvl>
    <w:lvl w:ilvl="5">
      <w:start w:val="1"/>
      <w:numFmt w:val="lowerRoman"/>
      <w:lvlText w:val="(%6)"/>
      <w:lvlJc w:val="left"/>
      <w:pPr>
        <w:ind w:left="1785" w:firstLine="0"/>
      </w:pPr>
      <w:rPr>
        <w:rFonts w:hint="default"/>
      </w:rPr>
    </w:lvl>
    <w:lvl w:ilvl="6">
      <w:start w:val="1"/>
      <w:numFmt w:val="decimal"/>
      <w:lvlText w:val="%7."/>
      <w:lvlJc w:val="left"/>
      <w:pPr>
        <w:ind w:left="2142" w:firstLine="0"/>
      </w:pPr>
      <w:rPr>
        <w:rFonts w:hint="default"/>
      </w:rPr>
    </w:lvl>
    <w:lvl w:ilvl="7">
      <w:start w:val="1"/>
      <w:numFmt w:val="lowerLetter"/>
      <w:lvlText w:val="%8."/>
      <w:lvlJc w:val="left"/>
      <w:pPr>
        <w:ind w:left="2499" w:firstLine="0"/>
      </w:pPr>
      <w:rPr>
        <w:rFonts w:hint="default"/>
      </w:rPr>
    </w:lvl>
    <w:lvl w:ilvl="8">
      <w:start w:val="1"/>
      <w:numFmt w:val="lowerRoman"/>
      <w:lvlText w:val="%9."/>
      <w:lvlJc w:val="left"/>
      <w:pPr>
        <w:ind w:left="2856" w:firstLine="0"/>
      </w:pPr>
      <w:rPr>
        <w:rFonts w:hint="default"/>
      </w:rPr>
    </w:lvl>
  </w:abstractNum>
  <w:abstractNum w:abstractNumId="20">
    <w:nsid w:val="7AAA28F7"/>
    <w:multiLevelType w:val="multilevel"/>
    <w:tmpl w:val="6694A906"/>
    <w:lvl w:ilvl="0">
      <w:start w:val="1"/>
      <w:numFmt w:val="decimal"/>
      <w:lvlText w:val="%1."/>
      <w:lvlJc w:val="left"/>
      <w:pPr>
        <w:ind w:left="450" w:hanging="450"/>
      </w:pPr>
      <w:rPr>
        <w:rFonts w:hint="default"/>
      </w:rPr>
    </w:lvl>
    <w:lvl w:ilvl="1">
      <w:start w:val="1"/>
      <w:numFmt w:val="lowerLetter"/>
      <w:lvlText w:val="%2)"/>
      <w:lvlJc w:val="left"/>
      <w:pPr>
        <w:ind w:left="720" w:hanging="720"/>
      </w:pPr>
      <w:rPr>
        <w:rFonts w:ascii="Verdana" w:hAnsi="Verdana" w:hint="default"/>
        <w:b w:val="0"/>
        <w:sz w:val="20"/>
        <w:szCs w:val="22"/>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18"/>
  </w:num>
  <w:num w:numId="2">
    <w:abstractNumId w:val="19"/>
  </w:num>
  <w:num w:numId="3">
    <w:abstractNumId w:val="0"/>
  </w:num>
  <w:num w:numId="4">
    <w:abstractNumId w:val="5"/>
  </w:num>
  <w:num w:numId="5">
    <w:abstractNumId w:val="12"/>
  </w:num>
  <w:num w:numId="6">
    <w:abstractNumId w:val="2"/>
  </w:num>
  <w:num w:numId="7">
    <w:abstractNumId w:val="16"/>
  </w:num>
  <w:num w:numId="8">
    <w:abstractNumId w:val="13"/>
  </w:num>
  <w:num w:numId="9">
    <w:abstractNumId w:val="9"/>
  </w:num>
  <w:num w:numId="10">
    <w:abstractNumId w:val="3"/>
  </w:num>
  <w:num w:numId="11">
    <w:abstractNumId w:val="10"/>
  </w:num>
  <w:num w:numId="12">
    <w:abstractNumId w:val="4"/>
  </w:num>
  <w:num w:numId="13">
    <w:abstractNumId w:val="6"/>
  </w:num>
  <w:num w:numId="14">
    <w:abstractNumId w:val="14"/>
  </w:num>
  <w:num w:numId="15">
    <w:abstractNumId w:val="11"/>
  </w:num>
  <w:num w:numId="16">
    <w:abstractNumId w:val="8"/>
  </w:num>
  <w:num w:numId="17">
    <w:abstractNumId w:val="20"/>
  </w:num>
  <w:num w:numId="18">
    <w:abstractNumId w:val="17"/>
  </w:num>
  <w:num w:numId="19">
    <w:abstractNumId w:val="7"/>
  </w:num>
  <w:num w:numId="20">
    <w:abstractNumId w:val="7"/>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0"/>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itor Azcoaga">
    <w15:presenceInfo w15:providerId="AD" w15:userId="S-1-5-21-3142757975-3537428233-1628321514-14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2"/>
  <w:removePersonalInformation/>
  <w:removeDateAndTime/>
  <w:activeWritingStyle w:appName="MSWord" w:lang="en-GB" w:vendorID="64" w:dllVersion="131078" w:nlCheck="1" w:checkStyle="0"/>
  <w:activeWritingStyle w:appName="MSWord" w:lang="en-US" w:vendorID="64" w:dllVersion="131078" w:nlCheck="1" w:checkStyle="1"/>
  <w:activeWritingStyle w:appName="MSWord" w:lang="es-ES_tradnl" w:vendorID="64" w:dllVersion="131078" w:nlCheck="1" w:checkStyle="1"/>
  <w:activeWritingStyle w:appName="MSWord" w:lang="fr-FR" w:vendorID="64" w:dllVersion="131078" w:nlCheck="1" w:checkStyle="1"/>
  <w:activeWritingStyle w:appName="MSWord" w:lang="en-IE" w:vendorID="64" w:dllVersion="131078" w:nlCheck="1" w:checkStyle="1"/>
  <w:proofState w:spelling="clean" w:grammar="clean"/>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77D4F"/>
    <w:rsid w:val="00006515"/>
    <w:rsid w:val="00007D38"/>
    <w:rsid w:val="00010858"/>
    <w:rsid w:val="0001190E"/>
    <w:rsid w:val="00012FCA"/>
    <w:rsid w:val="00016959"/>
    <w:rsid w:val="0002039E"/>
    <w:rsid w:val="00020A5D"/>
    <w:rsid w:val="000276A0"/>
    <w:rsid w:val="00030523"/>
    <w:rsid w:val="00031E54"/>
    <w:rsid w:val="00031FED"/>
    <w:rsid w:val="000320E4"/>
    <w:rsid w:val="000367F1"/>
    <w:rsid w:val="00036EA0"/>
    <w:rsid w:val="0003733C"/>
    <w:rsid w:val="00037683"/>
    <w:rsid w:val="00037C6F"/>
    <w:rsid w:val="00037FF8"/>
    <w:rsid w:val="00042A3F"/>
    <w:rsid w:val="0004656B"/>
    <w:rsid w:val="00052DB7"/>
    <w:rsid w:val="000536E4"/>
    <w:rsid w:val="00053D07"/>
    <w:rsid w:val="00056201"/>
    <w:rsid w:val="00056A6A"/>
    <w:rsid w:val="00057360"/>
    <w:rsid w:val="00062BFC"/>
    <w:rsid w:val="00062DF1"/>
    <w:rsid w:val="00063830"/>
    <w:rsid w:val="0006512D"/>
    <w:rsid w:val="0006791B"/>
    <w:rsid w:val="00070E6A"/>
    <w:rsid w:val="000720E5"/>
    <w:rsid w:val="00072C2E"/>
    <w:rsid w:val="000749EC"/>
    <w:rsid w:val="00075604"/>
    <w:rsid w:val="0007596D"/>
    <w:rsid w:val="00081D3E"/>
    <w:rsid w:val="000824AA"/>
    <w:rsid w:val="00082AEC"/>
    <w:rsid w:val="000902FB"/>
    <w:rsid w:val="00090B64"/>
    <w:rsid w:val="000914A0"/>
    <w:rsid w:val="00092E9B"/>
    <w:rsid w:val="000A0626"/>
    <w:rsid w:val="000A274E"/>
    <w:rsid w:val="000A2BF4"/>
    <w:rsid w:val="000A2C66"/>
    <w:rsid w:val="000A384F"/>
    <w:rsid w:val="000A448A"/>
    <w:rsid w:val="000A4DE6"/>
    <w:rsid w:val="000A4E30"/>
    <w:rsid w:val="000A6BC6"/>
    <w:rsid w:val="000B1EAC"/>
    <w:rsid w:val="000B25C9"/>
    <w:rsid w:val="000B2FCC"/>
    <w:rsid w:val="000B46DD"/>
    <w:rsid w:val="000C02BD"/>
    <w:rsid w:val="000C18FA"/>
    <w:rsid w:val="000C49A8"/>
    <w:rsid w:val="000C5384"/>
    <w:rsid w:val="000C5387"/>
    <w:rsid w:val="000C5541"/>
    <w:rsid w:val="000C567A"/>
    <w:rsid w:val="000C5BEF"/>
    <w:rsid w:val="000D2D43"/>
    <w:rsid w:val="000D3220"/>
    <w:rsid w:val="000D3CFF"/>
    <w:rsid w:val="000D3DC5"/>
    <w:rsid w:val="000E3EB2"/>
    <w:rsid w:val="000E6E14"/>
    <w:rsid w:val="000E70A8"/>
    <w:rsid w:val="000F0D18"/>
    <w:rsid w:val="000F1B1D"/>
    <w:rsid w:val="000F3115"/>
    <w:rsid w:val="000F316E"/>
    <w:rsid w:val="000F5FEF"/>
    <w:rsid w:val="00103839"/>
    <w:rsid w:val="00103C7E"/>
    <w:rsid w:val="00104511"/>
    <w:rsid w:val="00105C0C"/>
    <w:rsid w:val="001069BC"/>
    <w:rsid w:val="00106E0F"/>
    <w:rsid w:val="00111920"/>
    <w:rsid w:val="00111F45"/>
    <w:rsid w:val="00120B3B"/>
    <w:rsid w:val="00121994"/>
    <w:rsid w:val="00125C9D"/>
    <w:rsid w:val="001261D7"/>
    <w:rsid w:val="001320FD"/>
    <w:rsid w:val="0013347C"/>
    <w:rsid w:val="001335FF"/>
    <w:rsid w:val="0013559D"/>
    <w:rsid w:val="001372A5"/>
    <w:rsid w:val="001431E9"/>
    <w:rsid w:val="001434D5"/>
    <w:rsid w:val="00143C64"/>
    <w:rsid w:val="00144032"/>
    <w:rsid w:val="0014562C"/>
    <w:rsid w:val="00146FD3"/>
    <w:rsid w:val="00152B2E"/>
    <w:rsid w:val="00156E08"/>
    <w:rsid w:val="00157CA5"/>
    <w:rsid w:val="00161F9B"/>
    <w:rsid w:val="00163083"/>
    <w:rsid w:val="00165CE8"/>
    <w:rsid w:val="001663DE"/>
    <w:rsid w:val="00172416"/>
    <w:rsid w:val="00172B1C"/>
    <w:rsid w:val="00172FE2"/>
    <w:rsid w:val="00174CF8"/>
    <w:rsid w:val="00176B7A"/>
    <w:rsid w:val="00177D4F"/>
    <w:rsid w:val="001819BF"/>
    <w:rsid w:val="00184026"/>
    <w:rsid w:val="00184144"/>
    <w:rsid w:val="001841EA"/>
    <w:rsid w:val="00185137"/>
    <w:rsid w:val="0018539F"/>
    <w:rsid w:val="00187B65"/>
    <w:rsid w:val="00190756"/>
    <w:rsid w:val="00193D8A"/>
    <w:rsid w:val="001947F9"/>
    <w:rsid w:val="00194969"/>
    <w:rsid w:val="0019525A"/>
    <w:rsid w:val="00196173"/>
    <w:rsid w:val="001969AC"/>
    <w:rsid w:val="001A3B57"/>
    <w:rsid w:val="001A4529"/>
    <w:rsid w:val="001A5FFA"/>
    <w:rsid w:val="001A6F78"/>
    <w:rsid w:val="001A7FAE"/>
    <w:rsid w:val="001B4FA7"/>
    <w:rsid w:val="001B5198"/>
    <w:rsid w:val="001B74CF"/>
    <w:rsid w:val="001C1203"/>
    <w:rsid w:val="001C1DBD"/>
    <w:rsid w:val="001C7A05"/>
    <w:rsid w:val="001D1382"/>
    <w:rsid w:val="001D13F3"/>
    <w:rsid w:val="001D1E57"/>
    <w:rsid w:val="001D1FFE"/>
    <w:rsid w:val="001D5209"/>
    <w:rsid w:val="001D7625"/>
    <w:rsid w:val="001E1B01"/>
    <w:rsid w:val="001E1EA9"/>
    <w:rsid w:val="001E2124"/>
    <w:rsid w:val="001E218F"/>
    <w:rsid w:val="001E26EB"/>
    <w:rsid w:val="001E50E6"/>
    <w:rsid w:val="001E7E16"/>
    <w:rsid w:val="001F0A19"/>
    <w:rsid w:val="001F1832"/>
    <w:rsid w:val="001F1C30"/>
    <w:rsid w:val="001F1EEC"/>
    <w:rsid w:val="001F277B"/>
    <w:rsid w:val="001F2BD0"/>
    <w:rsid w:val="001F39F2"/>
    <w:rsid w:val="001F7102"/>
    <w:rsid w:val="00201679"/>
    <w:rsid w:val="00201A64"/>
    <w:rsid w:val="0021071F"/>
    <w:rsid w:val="00212644"/>
    <w:rsid w:val="00212CCF"/>
    <w:rsid w:val="002133D0"/>
    <w:rsid w:val="00222C68"/>
    <w:rsid w:val="00230E3A"/>
    <w:rsid w:val="00235663"/>
    <w:rsid w:val="0023689D"/>
    <w:rsid w:val="0023700B"/>
    <w:rsid w:val="00237E49"/>
    <w:rsid w:val="0024194F"/>
    <w:rsid w:val="00242834"/>
    <w:rsid w:val="00243FBE"/>
    <w:rsid w:val="002458A5"/>
    <w:rsid w:val="002479D8"/>
    <w:rsid w:val="00250074"/>
    <w:rsid w:val="00250271"/>
    <w:rsid w:val="002505AA"/>
    <w:rsid w:val="00251C8A"/>
    <w:rsid w:val="00255AAA"/>
    <w:rsid w:val="002567DB"/>
    <w:rsid w:val="00256BCA"/>
    <w:rsid w:val="0025740C"/>
    <w:rsid w:val="00260FE7"/>
    <w:rsid w:val="00262518"/>
    <w:rsid w:val="00262E52"/>
    <w:rsid w:val="00262FE2"/>
    <w:rsid w:val="002659D7"/>
    <w:rsid w:val="00265B62"/>
    <w:rsid w:val="002663D7"/>
    <w:rsid w:val="0026693C"/>
    <w:rsid w:val="00266D07"/>
    <w:rsid w:val="00266ED1"/>
    <w:rsid w:val="002768BA"/>
    <w:rsid w:val="002778E0"/>
    <w:rsid w:val="00277988"/>
    <w:rsid w:val="00281760"/>
    <w:rsid w:val="0028315B"/>
    <w:rsid w:val="002849FA"/>
    <w:rsid w:val="00285477"/>
    <w:rsid w:val="00285B0D"/>
    <w:rsid w:val="00287014"/>
    <w:rsid w:val="00291CEA"/>
    <w:rsid w:val="00292038"/>
    <w:rsid w:val="00292E94"/>
    <w:rsid w:val="002946BA"/>
    <w:rsid w:val="00294CFF"/>
    <w:rsid w:val="002A0458"/>
    <w:rsid w:val="002A08A1"/>
    <w:rsid w:val="002A62C0"/>
    <w:rsid w:val="002A68CB"/>
    <w:rsid w:val="002B1AD2"/>
    <w:rsid w:val="002B1DBD"/>
    <w:rsid w:val="002B3FBE"/>
    <w:rsid w:val="002B4A43"/>
    <w:rsid w:val="002B4EBE"/>
    <w:rsid w:val="002B6C8B"/>
    <w:rsid w:val="002B71FD"/>
    <w:rsid w:val="002B7504"/>
    <w:rsid w:val="002C1AE9"/>
    <w:rsid w:val="002C6724"/>
    <w:rsid w:val="002D0FA3"/>
    <w:rsid w:val="002D1626"/>
    <w:rsid w:val="002D1EDD"/>
    <w:rsid w:val="002D2AD4"/>
    <w:rsid w:val="002D4A56"/>
    <w:rsid w:val="002D51FF"/>
    <w:rsid w:val="002D5ED7"/>
    <w:rsid w:val="002E14FE"/>
    <w:rsid w:val="002E2E2F"/>
    <w:rsid w:val="002E35A3"/>
    <w:rsid w:val="002E4810"/>
    <w:rsid w:val="002E6E19"/>
    <w:rsid w:val="002E6E74"/>
    <w:rsid w:val="002F196A"/>
    <w:rsid w:val="002F1DE2"/>
    <w:rsid w:val="002F200E"/>
    <w:rsid w:val="002F336F"/>
    <w:rsid w:val="002F3548"/>
    <w:rsid w:val="002F62F2"/>
    <w:rsid w:val="00303912"/>
    <w:rsid w:val="00304CAD"/>
    <w:rsid w:val="0031017D"/>
    <w:rsid w:val="00311425"/>
    <w:rsid w:val="0031524D"/>
    <w:rsid w:val="003173FC"/>
    <w:rsid w:val="003176E1"/>
    <w:rsid w:val="00317CDB"/>
    <w:rsid w:val="00320139"/>
    <w:rsid w:val="003209FC"/>
    <w:rsid w:val="00320B91"/>
    <w:rsid w:val="00320F90"/>
    <w:rsid w:val="003214B5"/>
    <w:rsid w:val="003234F2"/>
    <w:rsid w:val="00326143"/>
    <w:rsid w:val="003263EB"/>
    <w:rsid w:val="00330067"/>
    <w:rsid w:val="00331823"/>
    <w:rsid w:val="00333900"/>
    <w:rsid w:val="00333C9E"/>
    <w:rsid w:val="00336D72"/>
    <w:rsid w:val="00337269"/>
    <w:rsid w:val="003405BA"/>
    <w:rsid w:val="00341401"/>
    <w:rsid w:val="00342976"/>
    <w:rsid w:val="00342D03"/>
    <w:rsid w:val="00344798"/>
    <w:rsid w:val="00345081"/>
    <w:rsid w:val="0034782C"/>
    <w:rsid w:val="003505A6"/>
    <w:rsid w:val="00350AAB"/>
    <w:rsid w:val="00352089"/>
    <w:rsid w:val="003525D8"/>
    <w:rsid w:val="003535A2"/>
    <w:rsid w:val="00353E47"/>
    <w:rsid w:val="003607DA"/>
    <w:rsid w:val="00361EA9"/>
    <w:rsid w:val="00362287"/>
    <w:rsid w:val="00362776"/>
    <w:rsid w:val="00362C90"/>
    <w:rsid w:val="003632EB"/>
    <w:rsid w:val="00365078"/>
    <w:rsid w:val="00370CD8"/>
    <w:rsid w:val="00372E52"/>
    <w:rsid w:val="003741BF"/>
    <w:rsid w:val="00375B46"/>
    <w:rsid w:val="00377B34"/>
    <w:rsid w:val="003840F0"/>
    <w:rsid w:val="00384321"/>
    <w:rsid w:val="0038567A"/>
    <w:rsid w:val="00386D2F"/>
    <w:rsid w:val="00390256"/>
    <w:rsid w:val="00391BC6"/>
    <w:rsid w:val="00392873"/>
    <w:rsid w:val="00396EED"/>
    <w:rsid w:val="00397FD7"/>
    <w:rsid w:val="003A0927"/>
    <w:rsid w:val="003A47C4"/>
    <w:rsid w:val="003A6D6C"/>
    <w:rsid w:val="003B05DB"/>
    <w:rsid w:val="003B2A01"/>
    <w:rsid w:val="003B2C91"/>
    <w:rsid w:val="003B2CC8"/>
    <w:rsid w:val="003B320E"/>
    <w:rsid w:val="003B33BA"/>
    <w:rsid w:val="003B4721"/>
    <w:rsid w:val="003B5D1B"/>
    <w:rsid w:val="003B62B2"/>
    <w:rsid w:val="003B7F08"/>
    <w:rsid w:val="003C2F2B"/>
    <w:rsid w:val="003C4AEC"/>
    <w:rsid w:val="003C5393"/>
    <w:rsid w:val="003C588C"/>
    <w:rsid w:val="003C5969"/>
    <w:rsid w:val="003C762C"/>
    <w:rsid w:val="003C786C"/>
    <w:rsid w:val="003D0470"/>
    <w:rsid w:val="003D0518"/>
    <w:rsid w:val="003D0DCC"/>
    <w:rsid w:val="003D4A49"/>
    <w:rsid w:val="003D4E1F"/>
    <w:rsid w:val="003D59AB"/>
    <w:rsid w:val="003D75AD"/>
    <w:rsid w:val="003E0D3A"/>
    <w:rsid w:val="003E0E26"/>
    <w:rsid w:val="003E0F06"/>
    <w:rsid w:val="003E1F2E"/>
    <w:rsid w:val="003E2473"/>
    <w:rsid w:val="003E3DAD"/>
    <w:rsid w:val="003E41E8"/>
    <w:rsid w:val="003E5FA1"/>
    <w:rsid w:val="003F095E"/>
    <w:rsid w:val="003F1739"/>
    <w:rsid w:val="003F2151"/>
    <w:rsid w:val="003F2CF3"/>
    <w:rsid w:val="003F3D54"/>
    <w:rsid w:val="003F6249"/>
    <w:rsid w:val="003F64A6"/>
    <w:rsid w:val="003F6879"/>
    <w:rsid w:val="003F68D7"/>
    <w:rsid w:val="003F7441"/>
    <w:rsid w:val="00400D7C"/>
    <w:rsid w:val="00402477"/>
    <w:rsid w:val="00402A40"/>
    <w:rsid w:val="004043DC"/>
    <w:rsid w:val="00406BB0"/>
    <w:rsid w:val="0041156A"/>
    <w:rsid w:val="00412EB7"/>
    <w:rsid w:val="00414C4C"/>
    <w:rsid w:val="00415A64"/>
    <w:rsid w:val="00415E55"/>
    <w:rsid w:val="00416147"/>
    <w:rsid w:val="00417D79"/>
    <w:rsid w:val="004211DB"/>
    <w:rsid w:val="0042341F"/>
    <w:rsid w:val="00424427"/>
    <w:rsid w:val="00424D2C"/>
    <w:rsid w:val="004265C6"/>
    <w:rsid w:val="004267F2"/>
    <w:rsid w:val="00426CF2"/>
    <w:rsid w:val="00432508"/>
    <w:rsid w:val="004369B8"/>
    <w:rsid w:val="00440960"/>
    <w:rsid w:val="00441C0D"/>
    <w:rsid w:val="00441DAD"/>
    <w:rsid w:val="00444B86"/>
    <w:rsid w:val="00444F1F"/>
    <w:rsid w:val="00445159"/>
    <w:rsid w:val="0044552A"/>
    <w:rsid w:val="00445BBC"/>
    <w:rsid w:val="00451463"/>
    <w:rsid w:val="00452194"/>
    <w:rsid w:val="004623FC"/>
    <w:rsid w:val="00463B7B"/>
    <w:rsid w:val="004707CB"/>
    <w:rsid w:val="00470D13"/>
    <w:rsid w:val="00470E37"/>
    <w:rsid w:val="00473713"/>
    <w:rsid w:val="004769D4"/>
    <w:rsid w:val="00476FD5"/>
    <w:rsid w:val="00484961"/>
    <w:rsid w:val="00485735"/>
    <w:rsid w:val="00487D1D"/>
    <w:rsid w:val="00490100"/>
    <w:rsid w:val="004906B3"/>
    <w:rsid w:val="004920D7"/>
    <w:rsid w:val="00492569"/>
    <w:rsid w:val="004928CE"/>
    <w:rsid w:val="00495362"/>
    <w:rsid w:val="00495D6E"/>
    <w:rsid w:val="004A60FA"/>
    <w:rsid w:val="004A6298"/>
    <w:rsid w:val="004A693B"/>
    <w:rsid w:val="004A7546"/>
    <w:rsid w:val="004B27BA"/>
    <w:rsid w:val="004B3065"/>
    <w:rsid w:val="004B36C0"/>
    <w:rsid w:val="004B4F3F"/>
    <w:rsid w:val="004B5C7A"/>
    <w:rsid w:val="004B72A2"/>
    <w:rsid w:val="004C036B"/>
    <w:rsid w:val="004C2984"/>
    <w:rsid w:val="004C2A8F"/>
    <w:rsid w:val="004C4DEC"/>
    <w:rsid w:val="004C6F19"/>
    <w:rsid w:val="004D02A4"/>
    <w:rsid w:val="004D08C8"/>
    <w:rsid w:val="004D1832"/>
    <w:rsid w:val="004D5274"/>
    <w:rsid w:val="004E19F8"/>
    <w:rsid w:val="004E21A9"/>
    <w:rsid w:val="004E4978"/>
    <w:rsid w:val="004E64DC"/>
    <w:rsid w:val="004E7B65"/>
    <w:rsid w:val="004F46EC"/>
    <w:rsid w:val="004F7C13"/>
    <w:rsid w:val="004F7E4A"/>
    <w:rsid w:val="0050213F"/>
    <w:rsid w:val="00504BEB"/>
    <w:rsid w:val="00507296"/>
    <w:rsid w:val="00511277"/>
    <w:rsid w:val="00511532"/>
    <w:rsid w:val="00517799"/>
    <w:rsid w:val="005211F4"/>
    <w:rsid w:val="0052207C"/>
    <w:rsid w:val="005224BF"/>
    <w:rsid w:val="00522C17"/>
    <w:rsid w:val="00530AE0"/>
    <w:rsid w:val="00531FC0"/>
    <w:rsid w:val="00534377"/>
    <w:rsid w:val="005352FC"/>
    <w:rsid w:val="00535737"/>
    <w:rsid w:val="00535D42"/>
    <w:rsid w:val="0053647F"/>
    <w:rsid w:val="0053733C"/>
    <w:rsid w:val="00540C11"/>
    <w:rsid w:val="00542433"/>
    <w:rsid w:val="00542EFB"/>
    <w:rsid w:val="00544837"/>
    <w:rsid w:val="00546C37"/>
    <w:rsid w:val="00551CAB"/>
    <w:rsid w:val="005522E6"/>
    <w:rsid w:val="0055421F"/>
    <w:rsid w:val="005544E9"/>
    <w:rsid w:val="00560049"/>
    <w:rsid w:val="005607E7"/>
    <w:rsid w:val="00560B67"/>
    <w:rsid w:val="00561C9A"/>
    <w:rsid w:val="00562EA2"/>
    <w:rsid w:val="005642C1"/>
    <w:rsid w:val="00565114"/>
    <w:rsid w:val="00567426"/>
    <w:rsid w:val="005719FA"/>
    <w:rsid w:val="00573BD8"/>
    <w:rsid w:val="00574FE8"/>
    <w:rsid w:val="00576F69"/>
    <w:rsid w:val="005771FE"/>
    <w:rsid w:val="00577513"/>
    <w:rsid w:val="00580730"/>
    <w:rsid w:val="0058236D"/>
    <w:rsid w:val="0058325D"/>
    <w:rsid w:val="005859EA"/>
    <w:rsid w:val="00585B27"/>
    <w:rsid w:val="00585F7F"/>
    <w:rsid w:val="00591725"/>
    <w:rsid w:val="00592DCA"/>
    <w:rsid w:val="005942AC"/>
    <w:rsid w:val="00594725"/>
    <w:rsid w:val="005974B0"/>
    <w:rsid w:val="00597E29"/>
    <w:rsid w:val="005A26B8"/>
    <w:rsid w:val="005A5432"/>
    <w:rsid w:val="005A77E3"/>
    <w:rsid w:val="005A7867"/>
    <w:rsid w:val="005A7F39"/>
    <w:rsid w:val="005B074F"/>
    <w:rsid w:val="005B11F4"/>
    <w:rsid w:val="005B3C86"/>
    <w:rsid w:val="005B4324"/>
    <w:rsid w:val="005B7E9D"/>
    <w:rsid w:val="005C1E98"/>
    <w:rsid w:val="005D2AFC"/>
    <w:rsid w:val="005D2CB0"/>
    <w:rsid w:val="005D3363"/>
    <w:rsid w:val="005D4509"/>
    <w:rsid w:val="005D6398"/>
    <w:rsid w:val="005E11CF"/>
    <w:rsid w:val="005E1774"/>
    <w:rsid w:val="005E2AD4"/>
    <w:rsid w:val="005E3037"/>
    <w:rsid w:val="005E3516"/>
    <w:rsid w:val="005F1A7D"/>
    <w:rsid w:val="005F6718"/>
    <w:rsid w:val="005F79A1"/>
    <w:rsid w:val="005F7B27"/>
    <w:rsid w:val="005F7D3E"/>
    <w:rsid w:val="00604B5C"/>
    <w:rsid w:val="0061051E"/>
    <w:rsid w:val="00613EAC"/>
    <w:rsid w:val="00613FED"/>
    <w:rsid w:val="006143DE"/>
    <w:rsid w:val="00614973"/>
    <w:rsid w:val="00615930"/>
    <w:rsid w:val="00616BC0"/>
    <w:rsid w:val="00616F49"/>
    <w:rsid w:val="006216F3"/>
    <w:rsid w:val="00623FF9"/>
    <w:rsid w:val="00624DEE"/>
    <w:rsid w:val="00624FFF"/>
    <w:rsid w:val="006250F8"/>
    <w:rsid w:val="0062584B"/>
    <w:rsid w:val="0062641F"/>
    <w:rsid w:val="00627025"/>
    <w:rsid w:val="006318B6"/>
    <w:rsid w:val="006319DE"/>
    <w:rsid w:val="00631CFC"/>
    <w:rsid w:val="0063260C"/>
    <w:rsid w:val="0063388C"/>
    <w:rsid w:val="00635474"/>
    <w:rsid w:val="0064028A"/>
    <w:rsid w:val="00640A0A"/>
    <w:rsid w:val="00641EE8"/>
    <w:rsid w:val="0064469C"/>
    <w:rsid w:val="00645210"/>
    <w:rsid w:val="006455B1"/>
    <w:rsid w:val="00646B82"/>
    <w:rsid w:val="0065037A"/>
    <w:rsid w:val="006523E7"/>
    <w:rsid w:val="00653FB4"/>
    <w:rsid w:val="00654D46"/>
    <w:rsid w:val="00654DAD"/>
    <w:rsid w:val="0065678B"/>
    <w:rsid w:val="0066006C"/>
    <w:rsid w:val="006602C5"/>
    <w:rsid w:val="00660C6C"/>
    <w:rsid w:val="00661A4F"/>
    <w:rsid w:val="00664C1C"/>
    <w:rsid w:val="00665A57"/>
    <w:rsid w:val="006762BA"/>
    <w:rsid w:val="0067734F"/>
    <w:rsid w:val="00682521"/>
    <w:rsid w:val="006832B9"/>
    <w:rsid w:val="006833AD"/>
    <w:rsid w:val="006833BE"/>
    <w:rsid w:val="00683D0C"/>
    <w:rsid w:val="006855EC"/>
    <w:rsid w:val="006905E8"/>
    <w:rsid w:val="00691940"/>
    <w:rsid w:val="006920FA"/>
    <w:rsid w:val="006932B8"/>
    <w:rsid w:val="00697A82"/>
    <w:rsid w:val="006A07ED"/>
    <w:rsid w:val="006A3816"/>
    <w:rsid w:val="006A3D5E"/>
    <w:rsid w:val="006A7B65"/>
    <w:rsid w:val="006B29E2"/>
    <w:rsid w:val="006B2DC1"/>
    <w:rsid w:val="006B381A"/>
    <w:rsid w:val="006B385A"/>
    <w:rsid w:val="006B5B66"/>
    <w:rsid w:val="006B62A7"/>
    <w:rsid w:val="006C1A1F"/>
    <w:rsid w:val="006C3ECC"/>
    <w:rsid w:val="006C6454"/>
    <w:rsid w:val="006D3C76"/>
    <w:rsid w:val="006D693E"/>
    <w:rsid w:val="006E082F"/>
    <w:rsid w:val="006E1405"/>
    <w:rsid w:val="006E32FF"/>
    <w:rsid w:val="006E468E"/>
    <w:rsid w:val="006E4C78"/>
    <w:rsid w:val="006E54EC"/>
    <w:rsid w:val="006F08BC"/>
    <w:rsid w:val="006F1333"/>
    <w:rsid w:val="006F3328"/>
    <w:rsid w:val="00700391"/>
    <w:rsid w:val="00702BAE"/>
    <w:rsid w:val="007037AE"/>
    <w:rsid w:val="00707DE7"/>
    <w:rsid w:val="00707FE9"/>
    <w:rsid w:val="00710233"/>
    <w:rsid w:val="00711398"/>
    <w:rsid w:val="007144B2"/>
    <w:rsid w:val="007172E5"/>
    <w:rsid w:val="00721038"/>
    <w:rsid w:val="00721566"/>
    <w:rsid w:val="00722E55"/>
    <w:rsid w:val="00726D3A"/>
    <w:rsid w:val="0073012C"/>
    <w:rsid w:val="007321ED"/>
    <w:rsid w:val="00733604"/>
    <w:rsid w:val="007347AC"/>
    <w:rsid w:val="00734A24"/>
    <w:rsid w:val="00735A25"/>
    <w:rsid w:val="007362D4"/>
    <w:rsid w:val="007363D8"/>
    <w:rsid w:val="0074078A"/>
    <w:rsid w:val="00741B29"/>
    <w:rsid w:val="00741C6D"/>
    <w:rsid w:val="00744ECE"/>
    <w:rsid w:val="007450A5"/>
    <w:rsid w:val="00746477"/>
    <w:rsid w:val="0074746B"/>
    <w:rsid w:val="00752BDF"/>
    <w:rsid w:val="00755DA4"/>
    <w:rsid w:val="0075671D"/>
    <w:rsid w:val="00761BB0"/>
    <w:rsid w:val="007627E8"/>
    <w:rsid w:val="00762800"/>
    <w:rsid w:val="00764A64"/>
    <w:rsid w:val="0076703D"/>
    <w:rsid w:val="00771EA5"/>
    <w:rsid w:val="007743D3"/>
    <w:rsid w:val="007746AF"/>
    <w:rsid w:val="00774C09"/>
    <w:rsid w:val="00780A20"/>
    <w:rsid w:val="0078130C"/>
    <w:rsid w:val="00782960"/>
    <w:rsid w:val="00784632"/>
    <w:rsid w:val="00784E51"/>
    <w:rsid w:val="0078554E"/>
    <w:rsid w:val="00785BCD"/>
    <w:rsid w:val="00785F22"/>
    <w:rsid w:val="00787C04"/>
    <w:rsid w:val="00790CEB"/>
    <w:rsid w:val="007917D5"/>
    <w:rsid w:val="00791FBF"/>
    <w:rsid w:val="007941AB"/>
    <w:rsid w:val="0079687F"/>
    <w:rsid w:val="00797CF2"/>
    <w:rsid w:val="007A1021"/>
    <w:rsid w:val="007A163D"/>
    <w:rsid w:val="007A2F36"/>
    <w:rsid w:val="007A53D0"/>
    <w:rsid w:val="007A5E7A"/>
    <w:rsid w:val="007A6442"/>
    <w:rsid w:val="007A75B6"/>
    <w:rsid w:val="007B0408"/>
    <w:rsid w:val="007B30B0"/>
    <w:rsid w:val="007B4706"/>
    <w:rsid w:val="007B539A"/>
    <w:rsid w:val="007C25A3"/>
    <w:rsid w:val="007C4248"/>
    <w:rsid w:val="007C4280"/>
    <w:rsid w:val="007C4BFE"/>
    <w:rsid w:val="007C6DE7"/>
    <w:rsid w:val="007C7E86"/>
    <w:rsid w:val="007D0443"/>
    <w:rsid w:val="007D0B74"/>
    <w:rsid w:val="007D5669"/>
    <w:rsid w:val="007D5C6A"/>
    <w:rsid w:val="007D60CA"/>
    <w:rsid w:val="007D78FA"/>
    <w:rsid w:val="007E1555"/>
    <w:rsid w:val="007E26AB"/>
    <w:rsid w:val="007E4F3B"/>
    <w:rsid w:val="007E5360"/>
    <w:rsid w:val="007E5C2C"/>
    <w:rsid w:val="007E6AB9"/>
    <w:rsid w:val="007F24E5"/>
    <w:rsid w:val="007F255C"/>
    <w:rsid w:val="007F25DF"/>
    <w:rsid w:val="007F5FE5"/>
    <w:rsid w:val="007F70E3"/>
    <w:rsid w:val="0080247D"/>
    <w:rsid w:val="00802B20"/>
    <w:rsid w:val="00803F7C"/>
    <w:rsid w:val="008044A3"/>
    <w:rsid w:val="00810D76"/>
    <w:rsid w:val="00811394"/>
    <w:rsid w:val="00814941"/>
    <w:rsid w:val="00814FD5"/>
    <w:rsid w:val="00815506"/>
    <w:rsid w:val="00816C29"/>
    <w:rsid w:val="00817B5C"/>
    <w:rsid w:val="00820A40"/>
    <w:rsid w:val="0082207E"/>
    <w:rsid w:val="00830AB9"/>
    <w:rsid w:val="008325C8"/>
    <w:rsid w:val="00834BAA"/>
    <w:rsid w:val="00834E7F"/>
    <w:rsid w:val="008353AA"/>
    <w:rsid w:val="00841D66"/>
    <w:rsid w:val="0084231D"/>
    <w:rsid w:val="008434EC"/>
    <w:rsid w:val="00850AC3"/>
    <w:rsid w:val="00851774"/>
    <w:rsid w:val="00851C10"/>
    <w:rsid w:val="008535DE"/>
    <w:rsid w:val="00853945"/>
    <w:rsid w:val="00855711"/>
    <w:rsid w:val="00862895"/>
    <w:rsid w:val="00863C56"/>
    <w:rsid w:val="008650AB"/>
    <w:rsid w:val="00870270"/>
    <w:rsid w:val="00871F6F"/>
    <w:rsid w:val="008730B9"/>
    <w:rsid w:val="0087394C"/>
    <w:rsid w:val="0087595E"/>
    <w:rsid w:val="008764B0"/>
    <w:rsid w:val="00876842"/>
    <w:rsid w:val="008806FB"/>
    <w:rsid w:val="00880F78"/>
    <w:rsid w:val="00886029"/>
    <w:rsid w:val="008933E5"/>
    <w:rsid w:val="00894BC2"/>
    <w:rsid w:val="008957F5"/>
    <w:rsid w:val="00895AD9"/>
    <w:rsid w:val="00895D5D"/>
    <w:rsid w:val="008A14D4"/>
    <w:rsid w:val="008A38E3"/>
    <w:rsid w:val="008A44F5"/>
    <w:rsid w:val="008A6476"/>
    <w:rsid w:val="008B40E9"/>
    <w:rsid w:val="008C05B4"/>
    <w:rsid w:val="008C2267"/>
    <w:rsid w:val="008C22DA"/>
    <w:rsid w:val="008C255B"/>
    <w:rsid w:val="008C632F"/>
    <w:rsid w:val="008D0EA5"/>
    <w:rsid w:val="008D188D"/>
    <w:rsid w:val="008D1CA6"/>
    <w:rsid w:val="008D51AA"/>
    <w:rsid w:val="008D5CE0"/>
    <w:rsid w:val="008D6585"/>
    <w:rsid w:val="008D6E43"/>
    <w:rsid w:val="008E1041"/>
    <w:rsid w:val="008E1EF5"/>
    <w:rsid w:val="008E25F0"/>
    <w:rsid w:val="008E7F9D"/>
    <w:rsid w:val="008F0438"/>
    <w:rsid w:val="008F230A"/>
    <w:rsid w:val="00900208"/>
    <w:rsid w:val="00902BFB"/>
    <w:rsid w:val="009033BB"/>
    <w:rsid w:val="009034D4"/>
    <w:rsid w:val="009035FF"/>
    <w:rsid w:val="00903AC8"/>
    <w:rsid w:val="00906B10"/>
    <w:rsid w:val="00907D5E"/>
    <w:rsid w:val="00915C98"/>
    <w:rsid w:val="00917455"/>
    <w:rsid w:val="00921521"/>
    <w:rsid w:val="009221F9"/>
    <w:rsid w:val="0092263D"/>
    <w:rsid w:val="00930826"/>
    <w:rsid w:val="00933D31"/>
    <w:rsid w:val="00933EC7"/>
    <w:rsid w:val="00934E0E"/>
    <w:rsid w:val="009378AF"/>
    <w:rsid w:val="00937B7D"/>
    <w:rsid w:val="0094049D"/>
    <w:rsid w:val="009407E9"/>
    <w:rsid w:val="0094180D"/>
    <w:rsid w:val="009423DB"/>
    <w:rsid w:val="009428E7"/>
    <w:rsid w:val="00943442"/>
    <w:rsid w:val="00944CFE"/>
    <w:rsid w:val="00945BD4"/>
    <w:rsid w:val="00947488"/>
    <w:rsid w:val="00952A5B"/>
    <w:rsid w:val="00953548"/>
    <w:rsid w:val="0095651D"/>
    <w:rsid w:val="00956670"/>
    <w:rsid w:val="0095707A"/>
    <w:rsid w:val="0095749B"/>
    <w:rsid w:val="00961B60"/>
    <w:rsid w:val="009650A5"/>
    <w:rsid w:val="00965ABE"/>
    <w:rsid w:val="009746F6"/>
    <w:rsid w:val="00975EC0"/>
    <w:rsid w:val="00976BEE"/>
    <w:rsid w:val="009804D5"/>
    <w:rsid w:val="009811D4"/>
    <w:rsid w:val="009868DA"/>
    <w:rsid w:val="0098766B"/>
    <w:rsid w:val="0099031D"/>
    <w:rsid w:val="00991820"/>
    <w:rsid w:val="009929D0"/>
    <w:rsid w:val="00993980"/>
    <w:rsid w:val="00994800"/>
    <w:rsid w:val="00994828"/>
    <w:rsid w:val="00994965"/>
    <w:rsid w:val="00996EFE"/>
    <w:rsid w:val="0099720E"/>
    <w:rsid w:val="0099733D"/>
    <w:rsid w:val="009973E7"/>
    <w:rsid w:val="0099758C"/>
    <w:rsid w:val="00997893"/>
    <w:rsid w:val="009A0EBF"/>
    <w:rsid w:val="009A1ECD"/>
    <w:rsid w:val="009A4B2F"/>
    <w:rsid w:val="009A75F7"/>
    <w:rsid w:val="009A7DBD"/>
    <w:rsid w:val="009B16FC"/>
    <w:rsid w:val="009B1CF3"/>
    <w:rsid w:val="009C1DAC"/>
    <w:rsid w:val="009C5616"/>
    <w:rsid w:val="009D0601"/>
    <w:rsid w:val="009D0B0C"/>
    <w:rsid w:val="009D1597"/>
    <w:rsid w:val="009D303D"/>
    <w:rsid w:val="009D3347"/>
    <w:rsid w:val="009E184D"/>
    <w:rsid w:val="009E18A2"/>
    <w:rsid w:val="009E2381"/>
    <w:rsid w:val="009E25DF"/>
    <w:rsid w:val="009E3737"/>
    <w:rsid w:val="009E5661"/>
    <w:rsid w:val="009E5CC8"/>
    <w:rsid w:val="009E6866"/>
    <w:rsid w:val="009E7DAF"/>
    <w:rsid w:val="009F0804"/>
    <w:rsid w:val="009F16DE"/>
    <w:rsid w:val="009F24EA"/>
    <w:rsid w:val="009F307A"/>
    <w:rsid w:val="009F3A8F"/>
    <w:rsid w:val="009F437C"/>
    <w:rsid w:val="009F66F8"/>
    <w:rsid w:val="00A000C6"/>
    <w:rsid w:val="00A00119"/>
    <w:rsid w:val="00A00686"/>
    <w:rsid w:val="00A02775"/>
    <w:rsid w:val="00A02EB1"/>
    <w:rsid w:val="00A040B4"/>
    <w:rsid w:val="00A06365"/>
    <w:rsid w:val="00A066D0"/>
    <w:rsid w:val="00A07B52"/>
    <w:rsid w:val="00A1067C"/>
    <w:rsid w:val="00A12091"/>
    <w:rsid w:val="00A1232D"/>
    <w:rsid w:val="00A1510D"/>
    <w:rsid w:val="00A17742"/>
    <w:rsid w:val="00A22FD4"/>
    <w:rsid w:val="00A23FE9"/>
    <w:rsid w:val="00A25833"/>
    <w:rsid w:val="00A314C6"/>
    <w:rsid w:val="00A322EB"/>
    <w:rsid w:val="00A32505"/>
    <w:rsid w:val="00A32915"/>
    <w:rsid w:val="00A32CA7"/>
    <w:rsid w:val="00A333D4"/>
    <w:rsid w:val="00A36C28"/>
    <w:rsid w:val="00A36F56"/>
    <w:rsid w:val="00A37C5A"/>
    <w:rsid w:val="00A4323E"/>
    <w:rsid w:val="00A4450B"/>
    <w:rsid w:val="00A44B40"/>
    <w:rsid w:val="00A4513E"/>
    <w:rsid w:val="00A47BDD"/>
    <w:rsid w:val="00A50F08"/>
    <w:rsid w:val="00A51CF5"/>
    <w:rsid w:val="00A51E6C"/>
    <w:rsid w:val="00A51F55"/>
    <w:rsid w:val="00A57090"/>
    <w:rsid w:val="00A614C5"/>
    <w:rsid w:val="00A61AE5"/>
    <w:rsid w:val="00A6429F"/>
    <w:rsid w:val="00A65DE7"/>
    <w:rsid w:val="00A66138"/>
    <w:rsid w:val="00A6662F"/>
    <w:rsid w:val="00A677B3"/>
    <w:rsid w:val="00A723AC"/>
    <w:rsid w:val="00A75070"/>
    <w:rsid w:val="00A750F8"/>
    <w:rsid w:val="00A75155"/>
    <w:rsid w:val="00A81F51"/>
    <w:rsid w:val="00A8403F"/>
    <w:rsid w:val="00A85D4A"/>
    <w:rsid w:val="00A86315"/>
    <w:rsid w:val="00A864AC"/>
    <w:rsid w:val="00A92B00"/>
    <w:rsid w:val="00A96FF5"/>
    <w:rsid w:val="00A97E25"/>
    <w:rsid w:val="00AA01EA"/>
    <w:rsid w:val="00AA3222"/>
    <w:rsid w:val="00AA350F"/>
    <w:rsid w:val="00AA3D6E"/>
    <w:rsid w:val="00AA5B96"/>
    <w:rsid w:val="00AA7B44"/>
    <w:rsid w:val="00AB0F95"/>
    <w:rsid w:val="00AB0FD3"/>
    <w:rsid w:val="00AB25F2"/>
    <w:rsid w:val="00AB42D7"/>
    <w:rsid w:val="00AB45CF"/>
    <w:rsid w:val="00AB4ABB"/>
    <w:rsid w:val="00AB5CC7"/>
    <w:rsid w:val="00AB74B6"/>
    <w:rsid w:val="00AC0255"/>
    <w:rsid w:val="00AC3F0C"/>
    <w:rsid w:val="00AC45BF"/>
    <w:rsid w:val="00AD0145"/>
    <w:rsid w:val="00AD0183"/>
    <w:rsid w:val="00AD0D1F"/>
    <w:rsid w:val="00AD3B50"/>
    <w:rsid w:val="00AD4991"/>
    <w:rsid w:val="00AD7E52"/>
    <w:rsid w:val="00AE116C"/>
    <w:rsid w:val="00AE2FF2"/>
    <w:rsid w:val="00AE4FD7"/>
    <w:rsid w:val="00AE6AD8"/>
    <w:rsid w:val="00AE744B"/>
    <w:rsid w:val="00AE78E4"/>
    <w:rsid w:val="00AF2BD5"/>
    <w:rsid w:val="00AF2FF1"/>
    <w:rsid w:val="00AF3E7B"/>
    <w:rsid w:val="00AF5051"/>
    <w:rsid w:val="00AF649B"/>
    <w:rsid w:val="00AF7602"/>
    <w:rsid w:val="00B01374"/>
    <w:rsid w:val="00B01DFA"/>
    <w:rsid w:val="00B04ADD"/>
    <w:rsid w:val="00B05C06"/>
    <w:rsid w:val="00B07419"/>
    <w:rsid w:val="00B107F4"/>
    <w:rsid w:val="00B118CA"/>
    <w:rsid w:val="00B11B26"/>
    <w:rsid w:val="00B15CB5"/>
    <w:rsid w:val="00B20DA3"/>
    <w:rsid w:val="00B23AF6"/>
    <w:rsid w:val="00B24079"/>
    <w:rsid w:val="00B267F0"/>
    <w:rsid w:val="00B2763E"/>
    <w:rsid w:val="00B306DF"/>
    <w:rsid w:val="00B312BD"/>
    <w:rsid w:val="00B33E60"/>
    <w:rsid w:val="00B37383"/>
    <w:rsid w:val="00B40A64"/>
    <w:rsid w:val="00B40B7F"/>
    <w:rsid w:val="00B41C29"/>
    <w:rsid w:val="00B439C1"/>
    <w:rsid w:val="00B439C7"/>
    <w:rsid w:val="00B43E1F"/>
    <w:rsid w:val="00B4473A"/>
    <w:rsid w:val="00B463E1"/>
    <w:rsid w:val="00B46FB3"/>
    <w:rsid w:val="00B56483"/>
    <w:rsid w:val="00B5683D"/>
    <w:rsid w:val="00B572CA"/>
    <w:rsid w:val="00B61036"/>
    <w:rsid w:val="00B632E4"/>
    <w:rsid w:val="00B63F7E"/>
    <w:rsid w:val="00B70371"/>
    <w:rsid w:val="00B70452"/>
    <w:rsid w:val="00B70E1B"/>
    <w:rsid w:val="00B71464"/>
    <w:rsid w:val="00B71A46"/>
    <w:rsid w:val="00B76361"/>
    <w:rsid w:val="00B82FD5"/>
    <w:rsid w:val="00B858A8"/>
    <w:rsid w:val="00B85C04"/>
    <w:rsid w:val="00B86012"/>
    <w:rsid w:val="00B87684"/>
    <w:rsid w:val="00B8787D"/>
    <w:rsid w:val="00B90099"/>
    <w:rsid w:val="00B94DBC"/>
    <w:rsid w:val="00B9628C"/>
    <w:rsid w:val="00B96850"/>
    <w:rsid w:val="00B970AE"/>
    <w:rsid w:val="00BA0061"/>
    <w:rsid w:val="00BA146C"/>
    <w:rsid w:val="00BA1701"/>
    <w:rsid w:val="00BA4A91"/>
    <w:rsid w:val="00BA5816"/>
    <w:rsid w:val="00BA66B7"/>
    <w:rsid w:val="00BA69D8"/>
    <w:rsid w:val="00BA6DB4"/>
    <w:rsid w:val="00BB27DB"/>
    <w:rsid w:val="00BB4617"/>
    <w:rsid w:val="00BB5459"/>
    <w:rsid w:val="00BB5DE5"/>
    <w:rsid w:val="00BB7C43"/>
    <w:rsid w:val="00BB7E4B"/>
    <w:rsid w:val="00BC0A05"/>
    <w:rsid w:val="00BC16FF"/>
    <w:rsid w:val="00BC45E5"/>
    <w:rsid w:val="00BC5244"/>
    <w:rsid w:val="00BC6A1F"/>
    <w:rsid w:val="00BD037E"/>
    <w:rsid w:val="00BD0778"/>
    <w:rsid w:val="00BD0D67"/>
    <w:rsid w:val="00BD3C4C"/>
    <w:rsid w:val="00BD4371"/>
    <w:rsid w:val="00BD607F"/>
    <w:rsid w:val="00BD6D37"/>
    <w:rsid w:val="00BE0F88"/>
    <w:rsid w:val="00BE247E"/>
    <w:rsid w:val="00BE46A9"/>
    <w:rsid w:val="00BE4F06"/>
    <w:rsid w:val="00BE62E0"/>
    <w:rsid w:val="00BE6709"/>
    <w:rsid w:val="00BF211A"/>
    <w:rsid w:val="00BF2CC5"/>
    <w:rsid w:val="00BF38EA"/>
    <w:rsid w:val="00BF3FE7"/>
    <w:rsid w:val="00C01B2D"/>
    <w:rsid w:val="00C036ED"/>
    <w:rsid w:val="00C0462F"/>
    <w:rsid w:val="00C061E8"/>
    <w:rsid w:val="00C06AA7"/>
    <w:rsid w:val="00C07222"/>
    <w:rsid w:val="00C113DB"/>
    <w:rsid w:val="00C128C4"/>
    <w:rsid w:val="00C14376"/>
    <w:rsid w:val="00C1497E"/>
    <w:rsid w:val="00C17D9D"/>
    <w:rsid w:val="00C209FE"/>
    <w:rsid w:val="00C21363"/>
    <w:rsid w:val="00C234FB"/>
    <w:rsid w:val="00C2513E"/>
    <w:rsid w:val="00C26598"/>
    <w:rsid w:val="00C31EA1"/>
    <w:rsid w:val="00C32381"/>
    <w:rsid w:val="00C326D2"/>
    <w:rsid w:val="00C37C91"/>
    <w:rsid w:val="00C37D9B"/>
    <w:rsid w:val="00C4091B"/>
    <w:rsid w:val="00C41B56"/>
    <w:rsid w:val="00C51CBC"/>
    <w:rsid w:val="00C5289C"/>
    <w:rsid w:val="00C53F45"/>
    <w:rsid w:val="00C57EFF"/>
    <w:rsid w:val="00C65864"/>
    <w:rsid w:val="00C70106"/>
    <w:rsid w:val="00C71135"/>
    <w:rsid w:val="00C7311B"/>
    <w:rsid w:val="00C757A6"/>
    <w:rsid w:val="00C804D2"/>
    <w:rsid w:val="00C8170A"/>
    <w:rsid w:val="00C81904"/>
    <w:rsid w:val="00C82377"/>
    <w:rsid w:val="00C83FD2"/>
    <w:rsid w:val="00C83FFF"/>
    <w:rsid w:val="00C87DAC"/>
    <w:rsid w:val="00C91488"/>
    <w:rsid w:val="00C960CE"/>
    <w:rsid w:val="00C9632D"/>
    <w:rsid w:val="00CA00AC"/>
    <w:rsid w:val="00CA24B5"/>
    <w:rsid w:val="00CA286C"/>
    <w:rsid w:val="00CA326A"/>
    <w:rsid w:val="00CA4892"/>
    <w:rsid w:val="00CB2BD1"/>
    <w:rsid w:val="00CB36DF"/>
    <w:rsid w:val="00CB7B5D"/>
    <w:rsid w:val="00CC0686"/>
    <w:rsid w:val="00CC0974"/>
    <w:rsid w:val="00CC1015"/>
    <w:rsid w:val="00CC1765"/>
    <w:rsid w:val="00CD00A7"/>
    <w:rsid w:val="00CD0C80"/>
    <w:rsid w:val="00CD26A8"/>
    <w:rsid w:val="00CD2945"/>
    <w:rsid w:val="00CD2B9E"/>
    <w:rsid w:val="00CD3145"/>
    <w:rsid w:val="00CD33AB"/>
    <w:rsid w:val="00CD4222"/>
    <w:rsid w:val="00CD438B"/>
    <w:rsid w:val="00CD5023"/>
    <w:rsid w:val="00CD528C"/>
    <w:rsid w:val="00CD5AAF"/>
    <w:rsid w:val="00CE0B8A"/>
    <w:rsid w:val="00CE2085"/>
    <w:rsid w:val="00CE2688"/>
    <w:rsid w:val="00CE2EF0"/>
    <w:rsid w:val="00CE41AE"/>
    <w:rsid w:val="00CE49F8"/>
    <w:rsid w:val="00CE4BDF"/>
    <w:rsid w:val="00CE5020"/>
    <w:rsid w:val="00CE5230"/>
    <w:rsid w:val="00CE5EAE"/>
    <w:rsid w:val="00CE60C3"/>
    <w:rsid w:val="00CE6833"/>
    <w:rsid w:val="00CE7E71"/>
    <w:rsid w:val="00CF37C1"/>
    <w:rsid w:val="00CF7167"/>
    <w:rsid w:val="00CF78B1"/>
    <w:rsid w:val="00CF7E20"/>
    <w:rsid w:val="00D01079"/>
    <w:rsid w:val="00D01E06"/>
    <w:rsid w:val="00D01FAE"/>
    <w:rsid w:val="00D04882"/>
    <w:rsid w:val="00D04F68"/>
    <w:rsid w:val="00D05EE2"/>
    <w:rsid w:val="00D13D24"/>
    <w:rsid w:val="00D15009"/>
    <w:rsid w:val="00D1607E"/>
    <w:rsid w:val="00D204C5"/>
    <w:rsid w:val="00D21719"/>
    <w:rsid w:val="00D219E6"/>
    <w:rsid w:val="00D246D7"/>
    <w:rsid w:val="00D25236"/>
    <w:rsid w:val="00D252C9"/>
    <w:rsid w:val="00D25339"/>
    <w:rsid w:val="00D25F57"/>
    <w:rsid w:val="00D26DF2"/>
    <w:rsid w:val="00D27992"/>
    <w:rsid w:val="00D320F5"/>
    <w:rsid w:val="00D33245"/>
    <w:rsid w:val="00D33378"/>
    <w:rsid w:val="00D347CE"/>
    <w:rsid w:val="00D3505D"/>
    <w:rsid w:val="00D350E6"/>
    <w:rsid w:val="00D358C4"/>
    <w:rsid w:val="00D366A8"/>
    <w:rsid w:val="00D36793"/>
    <w:rsid w:val="00D40C3E"/>
    <w:rsid w:val="00D452F0"/>
    <w:rsid w:val="00D502B9"/>
    <w:rsid w:val="00D506B0"/>
    <w:rsid w:val="00D5156D"/>
    <w:rsid w:val="00D525F4"/>
    <w:rsid w:val="00D55020"/>
    <w:rsid w:val="00D56AAF"/>
    <w:rsid w:val="00D601DE"/>
    <w:rsid w:val="00D62083"/>
    <w:rsid w:val="00D71163"/>
    <w:rsid w:val="00D71BD3"/>
    <w:rsid w:val="00D7260F"/>
    <w:rsid w:val="00D72EF2"/>
    <w:rsid w:val="00D736E9"/>
    <w:rsid w:val="00D75E0C"/>
    <w:rsid w:val="00D7607C"/>
    <w:rsid w:val="00D761BC"/>
    <w:rsid w:val="00D76358"/>
    <w:rsid w:val="00D8045A"/>
    <w:rsid w:val="00D816CB"/>
    <w:rsid w:val="00D82249"/>
    <w:rsid w:val="00D8226C"/>
    <w:rsid w:val="00D82290"/>
    <w:rsid w:val="00D83D00"/>
    <w:rsid w:val="00D83EDC"/>
    <w:rsid w:val="00D84D73"/>
    <w:rsid w:val="00D86541"/>
    <w:rsid w:val="00D902A3"/>
    <w:rsid w:val="00D9220B"/>
    <w:rsid w:val="00D94067"/>
    <w:rsid w:val="00DA0F2B"/>
    <w:rsid w:val="00DA212D"/>
    <w:rsid w:val="00DA2640"/>
    <w:rsid w:val="00DA4276"/>
    <w:rsid w:val="00DA525A"/>
    <w:rsid w:val="00DB12F0"/>
    <w:rsid w:val="00DB2E46"/>
    <w:rsid w:val="00DB3842"/>
    <w:rsid w:val="00DB3D4F"/>
    <w:rsid w:val="00DB4901"/>
    <w:rsid w:val="00DB7113"/>
    <w:rsid w:val="00DC0103"/>
    <w:rsid w:val="00DC23CC"/>
    <w:rsid w:val="00DC2EE0"/>
    <w:rsid w:val="00DC5826"/>
    <w:rsid w:val="00DC7019"/>
    <w:rsid w:val="00DD033D"/>
    <w:rsid w:val="00DD071D"/>
    <w:rsid w:val="00DD1002"/>
    <w:rsid w:val="00DD12BA"/>
    <w:rsid w:val="00DD48D2"/>
    <w:rsid w:val="00DD7B7F"/>
    <w:rsid w:val="00DE1161"/>
    <w:rsid w:val="00DE172B"/>
    <w:rsid w:val="00DE2A50"/>
    <w:rsid w:val="00DE369E"/>
    <w:rsid w:val="00DE4DEE"/>
    <w:rsid w:val="00DE6B8D"/>
    <w:rsid w:val="00DF3509"/>
    <w:rsid w:val="00DF6084"/>
    <w:rsid w:val="00DF6485"/>
    <w:rsid w:val="00DF67A1"/>
    <w:rsid w:val="00DF7F19"/>
    <w:rsid w:val="00E001D1"/>
    <w:rsid w:val="00E01A3B"/>
    <w:rsid w:val="00E0319D"/>
    <w:rsid w:val="00E03392"/>
    <w:rsid w:val="00E0475E"/>
    <w:rsid w:val="00E04FF5"/>
    <w:rsid w:val="00E11ABF"/>
    <w:rsid w:val="00E1209F"/>
    <w:rsid w:val="00E120D9"/>
    <w:rsid w:val="00E12F34"/>
    <w:rsid w:val="00E1377B"/>
    <w:rsid w:val="00E142AB"/>
    <w:rsid w:val="00E1491C"/>
    <w:rsid w:val="00E17EEA"/>
    <w:rsid w:val="00E21732"/>
    <w:rsid w:val="00E2249F"/>
    <w:rsid w:val="00E228F6"/>
    <w:rsid w:val="00E2629D"/>
    <w:rsid w:val="00E26E07"/>
    <w:rsid w:val="00E27F19"/>
    <w:rsid w:val="00E32DF7"/>
    <w:rsid w:val="00E348F8"/>
    <w:rsid w:val="00E3494B"/>
    <w:rsid w:val="00E3598C"/>
    <w:rsid w:val="00E4050B"/>
    <w:rsid w:val="00E43420"/>
    <w:rsid w:val="00E4349A"/>
    <w:rsid w:val="00E459E3"/>
    <w:rsid w:val="00E518AD"/>
    <w:rsid w:val="00E53DF9"/>
    <w:rsid w:val="00E55373"/>
    <w:rsid w:val="00E55E96"/>
    <w:rsid w:val="00E56CDB"/>
    <w:rsid w:val="00E571D4"/>
    <w:rsid w:val="00E57600"/>
    <w:rsid w:val="00E60729"/>
    <w:rsid w:val="00E616D5"/>
    <w:rsid w:val="00E6493A"/>
    <w:rsid w:val="00E660DD"/>
    <w:rsid w:val="00E6611D"/>
    <w:rsid w:val="00E66590"/>
    <w:rsid w:val="00E720EE"/>
    <w:rsid w:val="00E73DA3"/>
    <w:rsid w:val="00E753F0"/>
    <w:rsid w:val="00E8167B"/>
    <w:rsid w:val="00E83224"/>
    <w:rsid w:val="00E96745"/>
    <w:rsid w:val="00E96DB2"/>
    <w:rsid w:val="00EA1DE0"/>
    <w:rsid w:val="00EA2664"/>
    <w:rsid w:val="00EA29D7"/>
    <w:rsid w:val="00EA2DE6"/>
    <w:rsid w:val="00EA4237"/>
    <w:rsid w:val="00EA430B"/>
    <w:rsid w:val="00EB2625"/>
    <w:rsid w:val="00EB2763"/>
    <w:rsid w:val="00EB4791"/>
    <w:rsid w:val="00EB55C4"/>
    <w:rsid w:val="00EB627B"/>
    <w:rsid w:val="00EB749B"/>
    <w:rsid w:val="00EC1981"/>
    <w:rsid w:val="00EC1D8C"/>
    <w:rsid w:val="00EC1F63"/>
    <w:rsid w:val="00EC2451"/>
    <w:rsid w:val="00EC2F6C"/>
    <w:rsid w:val="00EC3C66"/>
    <w:rsid w:val="00EC4935"/>
    <w:rsid w:val="00EC4B6A"/>
    <w:rsid w:val="00EC6551"/>
    <w:rsid w:val="00EC74F6"/>
    <w:rsid w:val="00EC78A1"/>
    <w:rsid w:val="00ED0C3D"/>
    <w:rsid w:val="00ED160F"/>
    <w:rsid w:val="00ED1B44"/>
    <w:rsid w:val="00ED24D1"/>
    <w:rsid w:val="00ED4AE9"/>
    <w:rsid w:val="00ED52FA"/>
    <w:rsid w:val="00ED57B9"/>
    <w:rsid w:val="00ED5BAC"/>
    <w:rsid w:val="00EE1105"/>
    <w:rsid w:val="00EE1915"/>
    <w:rsid w:val="00EE2499"/>
    <w:rsid w:val="00EF178E"/>
    <w:rsid w:val="00EF624E"/>
    <w:rsid w:val="00EF7236"/>
    <w:rsid w:val="00F008E5"/>
    <w:rsid w:val="00F018D0"/>
    <w:rsid w:val="00F0274E"/>
    <w:rsid w:val="00F053B9"/>
    <w:rsid w:val="00F05535"/>
    <w:rsid w:val="00F10B80"/>
    <w:rsid w:val="00F122F1"/>
    <w:rsid w:val="00F132DA"/>
    <w:rsid w:val="00F13772"/>
    <w:rsid w:val="00F27AB6"/>
    <w:rsid w:val="00F3017E"/>
    <w:rsid w:val="00F3191B"/>
    <w:rsid w:val="00F3412C"/>
    <w:rsid w:val="00F34A30"/>
    <w:rsid w:val="00F36763"/>
    <w:rsid w:val="00F36C72"/>
    <w:rsid w:val="00F37298"/>
    <w:rsid w:val="00F37B32"/>
    <w:rsid w:val="00F410EB"/>
    <w:rsid w:val="00F42C43"/>
    <w:rsid w:val="00F44DA6"/>
    <w:rsid w:val="00F462A3"/>
    <w:rsid w:val="00F506BC"/>
    <w:rsid w:val="00F508BE"/>
    <w:rsid w:val="00F50FB4"/>
    <w:rsid w:val="00F5397C"/>
    <w:rsid w:val="00F54802"/>
    <w:rsid w:val="00F61A34"/>
    <w:rsid w:val="00F61CD5"/>
    <w:rsid w:val="00F63BAA"/>
    <w:rsid w:val="00F67045"/>
    <w:rsid w:val="00F709D0"/>
    <w:rsid w:val="00F70ECD"/>
    <w:rsid w:val="00F71105"/>
    <w:rsid w:val="00F71790"/>
    <w:rsid w:val="00F743AF"/>
    <w:rsid w:val="00F747EC"/>
    <w:rsid w:val="00F76A36"/>
    <w:rsid w:val="00F776AA"/>
    <w:rsid w:val="00F77F9B"/>
    <w:rsid w:val="00F824DA"/>
    <w:rsid w:val="00F82E59"/>
    <w:rsid w:val="00F85011"/>
    <w:rsid w:val="00F86DB2"/>
    <w:rsid w:val="00F9008C"/>
    <w:rsid w:val="00F90319"/>
    <w:rsid w:val="00F90C16"/>
    <w:rsid w:val="00F956B4"/>
    <w:rsid w:val="00F962F2"/>
    <w:rsid w:val="00F96780"/>
    <w:rsid w:val="00FB08DA"/>
    <w:rsid w:val="00FB19EF"/>
    <w:rsid w:val="00FB2179"/>
    <w:rsid w:val="00FB50AB"/>
    <w:rsid w:val="00FB74D6"/>
    <w:rsid w:val="00FC0391"/>
    <w:rsid w:val="00FC07A0"/>
    <w:rsid w:val="00FC1312"/>
    <w:rsid w:val="00FC2AE2"/>
    <w:rsid w:val="00FC4104"/>
    <w:rsid w:val="00FC4BF2"/>
    <w:rsid w:val="00FC5817"/>
    <w:rsid w:val="00FC74C1"/>
    <w:rsid w:val="00FD3683"/>
    <w:rsid w:val="00FD419C"/>
    <w:rsid w:val="00FD4BC5"/>
    <w:rsid w:val="00FD699B"/>
    <w:rsid w:val="00FD7562"/>
    <w:rsid w:val="00FE34AF"/>
    <w:rsid w:val="00FF04CB"/>
    <w:rsid w:val="00FF134F"/>
    <w:rsid w:val="00FF21A2"/>
    <w:rsid w:val="00FF2297"/>
    <w:rsid w:val="00FF29D1"/>
    <w:rsid w:val="00FF3007"/>
    <w:rsid w:val="00FF47F4"/>
    <w:rsid w:val="00FF6A4E"/>
    <w:rsid w:val="00FF778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25125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footnote reference"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66B"/>
    <w:pPr>
      <w:spacing w:before="120" w:after="120" w:line="240" w:lineRule="auto"/>
    </w:pPr>
    <w:rPr>
      <w:rFonts w:ascii="Verdana" w:eastAsia="Calibri" w:hAnsi="Verdana" w:cs="Times New Roman"/>
      <w:szCs w:val="24"/>
      <w:lang w:val="pt-PT"/>
    </w:rPr>
  </w:style>
  <w:style w:type="paragraph" w:styleId="Heading1">
    <w:name w:val="heading 1"/>
    <w:basedOn w:val="Normal"/>
    <w:next w:val="Normal"/>
    <w:link w:val="Heading1Char"/>
    <w:uiPriority w:val="9"/>
    <w:qFormat/>
    <w:rsid w:val="00BE62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37F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qFormat/>
    <w:rsid w:val="00FF134F"/>
    <w:pPr>
      <w:keepNext/>
      <w:spacing w:before="0" w:after="0"/>
      <w:ind w:left="180"/>
      <w:jc w:val="both"/>
      <w:outlineLvl w:val="2"/>
    </w:pPr>
    <w:rPr>
      <w:rFonts w:ascii="Times New Roman" w:eastAsia="Times New Roman" w:hAnsi="Times New Roman"/>
      <w:sz w:val="24"/>
      <w:u w:val="single"/>
      <w:lang w:val="en-GB" w:eastAsia="en-GB"/>
    </w:rPr>
  </w:style>
  <w:style w:type="paragraph" w:styleId="Heading4">
    <w:name w:val="heading 4"/>
    <w:basedOn w:val="Normal"/>
    <w:next w:val="Normal"/>
    <w:link w:val="Heading4Char"/>
    <w:uiPriority w:val="9"/>
    <w:qFormat/>
    <w:rsid w:val="00FF134F"/>
    <w:pPr>
      <w:keepNext/>
      <w:spacing w:before="0" w:after="0"/>
      <w:jc w:val="both"/>
      <w:outlineLvl w:val="3"/>
    </w:pPr>
    <w:rPr>
      <w:rFonts w:ascii="Times New Roman" w:eastAsia="Times New Roman" w:hAnsi="Times New Roman"/>
      <w:sz w:val="24"/>
      <w:u w:val="single"/>
      <w:lang w:val="en-GB" w:eastAsia="en-GB"/>
    </w:rPr>
  </w:style>
  <w:style w:type="paragraph" w:styleId="Heading5">
    <w:name w:val="heading 5"/>
    <w:basedOn w:val="Normal"/>
    <w:next w:val="Normal"/>
    <w:link w:val="Heading5Char"/>
    <w:qFormat/>
    <w:rsid w:val="00FF134F"/>
    <w:pPr>
      <w:keepNext/>
      <w:spacing w:before="0" w:after="0"/>
      <w:jc w:val="both"/>
      <w:outlineLvl w:val="4"/>
    </w:pPr>
    <w:rPr>
      <w:rFonts w:ascii="Times New Roman" w:eastAsia="Times New Roman" w:hAnsi="Times New Roman"/>
      <w:b/>
      <w:bCs/>
      <w:sz w:val="24"/>
      <w:lang w:val="en-GB" w:eastAsia="en-GB"/>
    </w:rPr>
  </w:style>
  <w:style w:type="paragraph" w:styleId="Heading6">
    <w:name w:val="heading 6"/>
    <w:basedOn w:val="Normal"/>
    <w:next w:val="Normal"/>
    <w:link w:val="Heading6Char"/>
    <w:qFormat/>
    <w:rsid w:val="00FF134F"/>
    <w:pPr>
      <w:keepNext/>
      <w:spacing w:before="0" w:after="0"/>
      <w:ind w:left="180"/>
      <w:jc w:val="both"/>
      <w:outlineLvl w:val="5"/>
    </w:pPr>
    <w:rPr>
      <w:rFonts w:ascii="Times New Roman" w:eastAsia="Times New Roman" w:hAnsi="Times New Roman"/>
      <w:b/>
      <w:bCs/>
      <w:sz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20F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0FD"/>
    <w:rPr>
      <w:rFonts w:ascii="Tahoma" w:eastAsia="Calibri" w:hAnsi="Tahoma" w:cs="Tahoma"/>
      <w:sz w:val="16"/>
      <w:szCs w:val="16"/>
      <w:lang w:val="pt-PT"/>
    </w:rPr>
  </w:style>
  <w:style w:type="paragraph" w:styleId="Header">
    <w:name w:val="header"/>
    <w:basedOn w:val="Normal"/>
    <w:link w:val="HeaderChar"/>
    <w:uiPriority w:val="99"/>
    <w:unhideWhenUsed/>
    <w:rsid w:val="001320FD"/>
    <w:pPr>
      <w:tabs>
        <w:tab w:val="center" w:pos="4513"/>
        <w:tab w:val="right" w:pos="9026"/>
      </w:tabs>
      <w:spacing w:before="0" w:after="0"/>
    </w:pPr>
  </w:style>
  <w:style w:type="character" w:customStyle="1" w:styleId="HeaderChar">
    <w:name w:val="Header Char"/>
    <w:basedOn w:val="DefaultParagraphFont"/>
    <w:link w:val="Header"/>
    <w:uiPriority w:val="99"/>
    <w:rsid w:val="001320FD"/>
    <w:rPr>
      <w:rFonts w:ascii="Verdana" w:eastAsia="Calibri" w:hAnsi="Verdana" w:cs="Times New Roman"/>
      <w:szCs w:val="24"/>
      <w:lang w:val="pt-PT"/>
    </w:rPr>
  </w:style>
  <w:style w:type="paragraph" w:styleId="Footer">
    <w:name w:val="footer"/>
    <w:aliases w:val="Fußzeile Verdana 8p Regular,Mittelachse"/>
    <w:basedOn w:val="Normal"/>
    <w:link w:val="FooterChar"/>
    <w:uiPriority w:val="99"/>
    <w:unhideWhenUsed/>
    <w:qFormat/>
    <w:rsid w:val="001320FD"/>
    <w:pPr>
      <w:tabs>
        <w:tab w:val="center" w:pos="4513"/>
        <w:tab w:val="right" w:pos="9026"/>
      </w:tabs>
      <w:spacing w:before="0" w:after="0"/>
    </w:pPr>
  </w:style>
  <w:style w:type="character" w:customStyle="1" w:styleId="FooterChar">
    <w:name w:val="Footer Char"/>
    <w:aliases w:val="Fußzeile Verdana 8p Regular Char,Mittelachse Char"/>
    <w:basedOn w:val="DefaultParagraphFont"/>
    <w:link w:val="Footer"/>
    <w:uiPriority w:val="99"/>
    <w:rsid w:val="001320FD"/>
    <w:rPr>
      <w:rFonts w:ascii="Verdana" w:eastAsia="Calibri" w:hAnsi="Verdana" w:cs="Times New Roman"/>
      <w:szCs w:val="24"/>
      <w:lang w:val="pt-PT"/>
    </w:rPr>
  </w:style>
  <w:style w:type="character" w:styleId="Hyperlink">
    <w:name w:val="Hyperlink"/>
    <w:uiPriority w:val="99"/>
    <w:rsid w:val="001320FD"/>
    <w:rPr>
      <w:rFonts w:cs="Times New Roman"/>
      <w:b/>
      <w:bCs/>
      <w:color w:val="0000FF"/>
      <w:u w:val="single"/>
    </w:rPr>
  </w:style>
  <w:style w:type="character" w:styleId="CommentReference">
    <w:name w:val="annotation reference"/>
    <w:rsid w:val="00784632"/>
    <w:rPr>
      <w:rFonts w:cs="Times New Roman"/>
      <w:sz w:val="16"/>
      <w:szCs w:val="16"/>
    </w:rPr>
  </w:style>
  <w:style w:type="paragraph" w:styleId="CommentText">
    <w:name w:val="annotation text"/>
    <w:basedOn w:val="Normal"/>
    <w:link w:val="CommentTextChar"/>
    <w:uiPriority w:val="99"/>
    <w:rsid w:val="00784632"/>
    <w:pPr>
      <w:ind w:left="1066" w:hanging="357"/>
      <w:jc w:val="both"/>
    </w:pPr>
    <w:rPr>
      <w:sz w:val="20"/>
      <w:szCs w:val="20"/>
      <w:lang w:val="en-GB" w:eastAsia="pt-PT"/>
    </w:rPr>
  </w:style>
  <w:style w:type="character" w:customStyle="1" w:styleId="CommentTextChar">
    <w:name w:val="Comment Text Char"/>
    <w:basedOn w:val="DefaultParagraphFont"/>
    <w:link w:val="CommentText"/>
    <w:uiPriority w:val="99"/>
    <w:rsid w:val="00784632"/>
    <w:rPr>
      <w:rFonts w:ascii="Verdana" w:eastAsia="Calibri" w:hAnsi="Verdana" w:cs="Times New Roman"/>
      <w:sz w:val="20"/>
      <w:szCs w:val="20"/>
      <w:lang w:eastAsia="pt-PT"/>
    </w:rPr>
  </w:style>
  <w:style w:type="paragraph" w:styleId="CommentSubject">
    <w:name w:val="annotation subject"/>
    <w:basedOn w:val="CommentText"/>
    <w:next w:val="CommentText"/>
    <w:link w:val="CommentSubjectChar"/>
    <w:uiPriority w:val="99"/>
    <w:semiHidden/>
    <w:unhideWhenUsed/>
    <w:rsid w:val="005E2AD4"/>
    <w:pPr>
      <w:ind w:left="0" w:firstLine="0"/>
      <w:jc w:val="left"/>
    </w:pPr>
    <w:rPr>
      <w:b/>
      <w:bCs/>
      <w:lang w:val="pt-PT" w:eastAsia="en-US"/>
    </w:rPr>
  </w:style>
  <w:style w:type="character" w:customStyle="1" w:styleId="CommentSubjectChar">
    <w:name w:val="Comment Subject Char"/>
    <w:basedOn w:val="CommentTextChar"/>
    <w:link w:val="CommentSubject"/>
    <w:uiPriority w:val="99"/>
    <w:semiHidden/>
    <w:rsid w:val="005E2AD4"/>
    <w:rPr>
      <w:rFonts w:ascii="Verdana" w:eastAsia="Calibri" w:hAnsi="Verdana" w:cs="Times New Roman"/>
      <w:b/>
      <w:bCs/>
      <w:sz w:val="20"/>
      <w:szCs w:val="20"/>
      <w:lang w:val="pt-PT" w:eastAsia="pt-PT"/>
    </w:rPr>
  </w:style>
  <w:style w:type="paragraph" w:styleId="ListParagraph">
    <w:name w:val="List Paragraph"/>
    <w:basedOn w:val="Normal"/>
    <w:uiPriority w:val="34"/>
    <w:qFormat/>
    <w:rsid w:val="006A3816"/>
    <w:pPr>
      <w:ind w:left="720"/>
      <w:contextualSpacing/>
    </w:pPr>
  </w:style>
  <w:style w:type="paragraph" w:styleId="FootnoteText">
    <w:name w:val="footnote text"/>
    <w:aliases w:val="Footnote Text Char1,Footnote Text Char Char,Fußnotentext Char Char Char,Fußnotentext Char1 Char Char Char,Fußnotentext Char Char Char Char Char,Fußnotentext Char1 Char Char Char Char Char,Verdana 8p Regular Foot,Fußno"/>
    <w:basedOn w:val="Normal"/>
    <w:link w:val="FootnoteTextChar"/>
    <w:uiPriority w:val="99"/>
    <w:qFormat/>
    <w:rsid w:val="00415A64"/>
    <w:pPr>
      <w:spacing w:after="0"/>
    </w:pPr>
    <w:rPr>
      <w:sz w:val="20"/>
      <w:szCs w:val="20"/>
    </w:rPr>
  </w:style>
  <w:style w:type="character" w:customStyle="1" w:styleId="FootnoteTextChar">
    <w:name w:val="Footnote Text Char"/>
    <w:aliases w:val="Footnote Text Char1 Char,Footnote Text Char Char Char,Fußnotentext Char Char Char Char,Fußnotentext Char1 Char Char Char Char,Fußnotentext Char Char Char Char Char Char,Fußnotentext Char1 Char Char Char Char Char Char,Fußno Char"/>
    <w:basedOn w:val="DefaultParagraphFont"/>
    <w:link w:val="FootnoteText"/>
    <w:uiPriority w:val="99"/>
    <w:rsid w:val="00415A64"/>
    <w:rPr>
      <w:rFonts w:ascii="Verdana" w:eastAsia="Calibri" w:hAnsi="Verdana" w:cs="Times New Roman"/>
      <w:sz w:val="20"/>
      <w:szCs w:val="20"/>
      <w:lang w:val="pt-PT"/>
    </w:rPr>
  </w:style>
  <w:style w:type="character" w:styleId="FootnoteReference">
    <w:name w:val="footnote reference"/>
    <w:aliases w:val="Verdana 11p Regular,hochgestellt,Footnote Reference Number,Footnote Reference_LVL6,Footnote Reference_LVL61,Footnote Reference_LVL62,Footnote Reference_LVL63,Footnote Reference_LVL64,Fußnotenzeichen3,16 Point,Superscript 6 Point"/>
    <w:uiPriority w:val="99"/>
    <w:qFormat/>
    <w:rsid w:val="00415A64"/>
    <w:rPr>
      <w:rFonts w:cs="Times New Roman"/>
      <w:vertAlign w:val="superscript"/>
    </w:rPr>
  </w:style>
  <w:style w:type="paragraph" w:customStyle="1" w:styleId="Titrearticle">
    <w:name w:val="Titre article"/>
    <w:basedOn w:val="Normal"/>
    <w:next w:val="Normal"/>
    <w:rsid w:val="00184026"/>
    <w:pPr>
      <w:keepNext/>
      <w:spacing w:before="360"/>
      <w:jc w:val="center"/>
    </w:pPr>
    <w:rPr>
      <w:rFonts w:ascii="Times New Roman" w:hAnsi="Times New Roman"/>
      <w:i/>
      <w:sz w:val="24"/>
      <w:lang w:val="en-GB" w:eastAsia="de-DE"/>
    </w:rPr>
  </w:style>
  <w:style w:type="paragraph" w:customStyle="1" w:styleId="Fait">
    <w:name w:val="Fait à"/>
    <w:basedOn w:val="Normal"/>
    <w:next w:val="Institutionquisigne"/>
    <w:rsid w:val="00184026"/>
    <w:pPr>
      <w:keepNext/>
      <w:spacing w:after="0"/>
      <w:jc w:val="both"/>
    </w:pPr>
    <w:rPr>
      <w:rFonts w:ascii="Times New Roman" w:hAnsi="Times New Roman"/>
      <w:sz w:val="24"/>
      <w:lang w:val="en-GB" w:eastAsia="de-DE"/>
    </w:rPr>
  </w:style>
  <w:style w:type="paragraph" w:customStyle="1" w:styleId="Institutionquisigne">
    <w:name w:val="Institution qui signe"/>
    <w:basedOn w:val="Normal"/>
    <w:next w:val="Normal"/>
    <w:rsid w:val="00184026"/>
    <w:pPr>
      <w:keepNext/>
      <w:tabs>
        <w:tab w:val="left" w:pos="4252"/>
      </w:tabs>
      <w:spacing w:before="720" w:after="0"/>
      <w:jc w:val="both"/>
    </w:pPr>
    <w:rPr>
      <w:rFonts w:ascii="Times New Roman" w:hAnsi="Times New Roman"/>
      <w:i/>
      <w:sz w:val="24"/>
      <w:lang w:val="en-GB" w:eastAsia="de-DE"/>
    </w:rPr>
  </w:style>
  <w:style w:type="paragraph" w:customStyle="1" w:styleId="Default">
    <w:name w:val="Default"/>
    <w:rsid w:val="00184026"/>
    <w:pPr>
      <w:autoSpaceDE w:val="0"/>
      <w:autoSpaceDN w:val="0"/>
      <w:adjustRightInd w:val="0"/>
      <w:spacing w:after="0" w:line="240" w:lineRule="auto"/>
    </w:pPr>
    <w:rPr>
      <w:rFonts w:ascii="EUAlbertina" w:hAnsi="EUAlbertina" w:cs="EUAlbertina"/>
      <w:color w:val="000000"/>
      <w:sz w:val="24"/>
      <w:szCs w:val="24"/>
    </w:rPr>
  </w:style>
  <w:style w:type="paragraph" w:customStyle="1" w:styleId="NumPar1">
    <w:name w:val="NumPar 1"/>
    <w:basedOn w:val="Normal"/>
    <w:next w:val="Normal"/>
    <w:rsid w:val="009811D4"/>
    <w:pPr>
      <w:numPr>
        <w:numId w:val="1"/>
      </w:numPr>
    </w:pPr>
    <w:rPr>
      <w:rFonts w:ascii="Times New Roman" w:eastAsia="Times New Roman" w:hAnsi="Times New Roman"/>
      <w:sz w:val="24"/>
      <w:lang w:val="en-GB" w:eastAsia="en-GB"/>
    </w:rPr>
  </w:style>
  <w:style w:type="character" w:customStyle="1" w:styleId="DeltaViewInsertion">
    <w:name w:val="DeltaView Insertion"/>
    <w:rsid w:val="00452194"/>
    <w:rPr>
      <w:color w:val="0000FF"/>
      <w:u w:val="double"/>
    </w:rPr>
  </w:style>
  <w:style w:type="paragraph" w:styleId="Revision">
    <w:name w:val="Revision"/>
    <w:hidden/>
    <w:uiPriority w:val="99"/>
    <w:semiHidden/>
    <w:rsid w:val="00452194"/>
    <w:pPr>
      <w:spacing w:after="0" w:line="240" w:lineRule="auto"/>
    </w:pPr>
    <w:rPr>
      <w:rFonts w:ascii="Verdana" w:eastAsia="Calibri" w:hAnsi="Verdana" w:cs="Times New Roman"/>
      <w:szCs w:val="24"/>
      <w:lang w:val="pt-PT"/>
    </w:rPr>
  </w:style>
  <w:style w:type="paragraph" w:customStyle="1" w:styleId="Lijstalinea">
    <w:name w:val="Lijstalinea"/>
    <w:basedOn w:val="Normal"/>
    <w:uiPriority w:val="34"/>
    <w:qFormat/>
    <w:rsid w:val="003A0927"/>
    <w:pPr>
      <w:spacing w:before="0" w:after="0" w:line="260" w:lineRule="atLeast"/>
      <w:ind w:left="720"/>
      <w:contextualSpacing/>
    </w:pPr>
    <w:rPr>
      <w:rFonts w:eastAsia="Times New Roman"/>
      <w:kern w:val="10"/>
      <w:sz w:val="20"/>
      <w:szCs w:val="20"/>
      <w:lang w:val="de-DE" w:eastAsia="de-DE"/>
    </w:rPr>
  </w:style>
  <w:style w:type="numbering" w:customStyle="1" w:styleId="Style1">
    <w:name w:val="Style1"/>
    <w:basedOn w:val="NoList"/>
    <w:uiPriority w:val="99"/>
    <w:rsid w:val="001434D5"/>
    <w:pPr>
      <w:numPr>
        <w:numId w:val="2"/>
      </w:numPr>
    </w:pPr>
  </w:style>
  <w:style w:type="table" w:customStyle="1" w:styleId="TableGrid1">
    <w:name w:val="Table Grid1"/>
    <w:basedOn w:val="TableNormal"/>
    <w:next w:val="TableGrid"/>
    <w:uiPriority w:val="99"/>
    <w:rsid w:val="00BE62E0"/>
    <w:pPr>
      <w:spacing w:after="0" w:line="240" w:lineRule="auto"/>
    </w:pPr>
    <w:rPr>
      <w:rFonts w:ascii="Verdana" w:eastAsia="Times New Roman" w:hAnsi="Verdana"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E62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E62E0"/>
    <w:rPr>
      <w:rFonts w:asciiTheme="majorHAnsi" w:eastAsiaTheme="majorEastAsia" w:hAnsiTheme="majorHAnsi" w:cstheme="majorBidi"/>
      <w:b/>
      <w:bCs/>
      <w:color w:val="365F91" w:themeColor="accent1" w:themeShade="BF"/>
      <w:sz w:val="28"/>
      <w:szCs w:val="28"/>
      <w:lang w:val="pt-PT"/>
    </w:rPr>
  </w:style>
  <w:style w:type="paragraph" w:styleId="TOCHeading">
    <w:name w:val="TOC Heading"/>
    <w:basedOn w:val="Heading1"/>
    <w:next w:val="Normal"/>
    <w:uiPriority w:val="39"/>
    <w:unhideWhenUsed/>
    <w:qFormat/>
    <w:rsid w:val="00BE62E0"/>
    <w:pPr>
      <w:spacing w:before="240" w:after="60"/>
      <w:jc w:val="both"/>
      <w:outlineLvl w:val="9"/>
    </w:pPr>
    <w:rPr>
      <w:rFonts w:ascii="Verdana" w:hAnsi="Verdana"/>
      <w:color w:val="auto"/>
      <w:szCs w:val="24"/>
      <w:lang w:val="en-US" w:eastAsia="ja-JP"/>
    </w:rPr>
  </w:style>
  <w:style w:type="paragraph" w:styleId="TOC1">
    <w:name w:val="toc 1"/>
    <w:basedOn w:val="Normal"/>
    <w:next w:val="Normal"/>
    <w:autoRedefine/>
    <w:uiPriority w:val="39"/>
    <w:unhideWhenUsed/>
    <w:rsid w:val="00BE62E0"/>
    <w:pPr>
      <w:tabs>
        <w:tab w:val="right" w:leader="dot" w:pos="9016"/>
      </w:tabs>
      <w:spacing w:before="0" w:after="0"/>
      <w:jc w:val="both"/>
    </w:pPr>
    <w:rPr>
      <w:rFonts w:eastAsiaTheme="minorHAnsi" w:cstheme="minorBidi"/>
      <w:b/>
      <w:noProof/>
      <w:sz w:val="20"/>
      <w:szCs w:val="20"/>
      <w:lang w:val="en-GB"/>
    </w:rPr>
  </w:style>
  <w:style w:type="character" w:customStyle="1" w:styleId="Bold">
    <w:name w:val="Bold"/>
    <w:basedOn w:val="DefaultParagraphFont"/>
    <w:uiPriority w:val="1"/>
    <w:qFormat/>
    <w:rsid w:val="00BE62E0"/>
    <w:rPr>
      <w:b/>
    </w:rPr>
  </w:style>
  <w:style w:type="character" w:customStyle="1" w:styleId="Regular">
    <w:name w:val="Regular"/>
    <w:basedOn w:val="DefaultParagraphFont"/>
    <w:uiPriority w:val="1"/>
    <w:qFormat/>
    <w:rsid w:val="00BE62E0"/>
  </w:style>
  <w:style w:type="paragraph" w:customStyle="1" w:styleId="Bulletpoints1">
    <w:name w:val="Bullet points1"/>
    <w:basedOn w:val="ListBullet"/>
    <w:qFormat/>
    <w:rsid w:val="00BE62E0"/>
  </w:style>
  <w:style w:type="paragraph" w:styleId="ListBullet">
    <w:name w:val="List Bullet"/>
    <w:basedOn w:val="Normal"/>
    <w:uiPriority w:val="99"/>
    <w:semiHidden/>
    <w:unhideWhenUsed/>
    <w:rsid w:val="00BE62E0"/>
    <w:pPr>
      <w:numPr>
        <w:numId w:val="3"/>
      </w:numPr>
      <w:spacing w:after="0"/>
      <w:contextualSpacing/>
      <w:jc w:val="both"/>
    </w:pPr>
    <w:rPr>
      <w:rFonts w:eastAsiaTheme="minorHAnsi" w:cstheme="minorBidi"/>
      <w:szCs w:val="22"/>
      <w:lang w:val="en-GB"/>
    </w:rPr>
  </w:style>
  <w:style w:type="paragraph" w:customStyle="1" w:styleId="Regulationcenter">
    <w:name w:val="Regulation center"/>
    <w:basedOn w:val="Normal"/>
    <w:qFormat/>
    <w:rsid w:val="00F956B4"/>
    <w:pPr>
      <w:keepNext/>
      <w:spacing w:before="360"/>
      <w:jc w:val="center"/>
    </w:pPr>
    <w:rPr>
      <w:rFonts w:ascii="Times New Roman" w:eastAsia="Times New Roman" w:hAnsi="Times New Roman"/>
      <w:color w:val="000000"/>
      <w:sz w:val="24"/>
      <w:lang w:val="en-GB" w:eastAsia="de-DE"/>
    </w:rPr>
  </w:style>
  <w:style w:type="paragraph" w:customStyle="1" w:styleId="BoxText">
    <w:name w:val="Box Text"/>
    <w:basedOn w:val="Normal"/>
    <w:qFormat/>
    <w:rsid w:val="00E2249F"/>
    <w:pPr>
      <w:pBdr>
        <w:top w:val="single" w:sz="4" w:space="10" w:color="D0E7F6"/>
        <w:left w:val="single" w:sz="4" w:space="8" w:color="D0E7F6"/>
        <w:bottom w:val="single" w:sz="4" w:space="10" w:color="D0E7F6"/>
        <w:right w:val="single" w:sz="4" w:space="8" w:color="D0E7F6"/>
      </w:pBdr>
      <w:shd w:val="clear" w:color="auto" w:fill="D0E7F6"/>
      <w:spacing w:after="0"/>
      <w:ind w:left="227" w:right="170"/>
      <w:jc w:val="both"/>
    </w:pPr>
    <w:rPr>
      <w:rFonts w:eastAsia="MS Mincho"/>
      <w:szCs w:val="22"/>
      <w:lang w:val="de-DE" w:eastAsia="de-DE"/>
    </w:rPr>
  </w:style>
  <w:style w:type="character" w:customStyle="1" w:styleId="BoldUnderlined">
    <w:name w:val="Bold Underlined"/>
    <w:basedOn w:val="DefaultParagraphFont"/>
    <w:uiPriority w:val="1"/>
    <w:qFormat/>
    <w:rsid w:val="00E2249F"/>
    <w:rPr>
      <w:b/>
      <w:u w:val="single"/>
    </w:rPr>
  </w:style>
  <w:style w:type="paragraph" w:customStyle="1" w:styleId="Bulletpoints3">
    <w:name w:val="Bullet points3"/>
    <w:basedOn w:val="Normal"/>
    <w:qFormat/>
    <w:rsid w:val="00344798"/>
    <w:pPr>
      <w:numPr>
        <w:numId w:val="4"/>
      </w:numPr>
      <w:spacing w:after="0"/>
      <w:ind w:right="170"/>
      <w:jc w:val="both"/>
    </w:pPr>
    <w:rPr>
      <w:rFonts w:eastAsia="MS Mincho"/>
      <w:szCs w:val="22"/>
      <w:lang w:val="de-DE" w:eastAsia="de-DE"/>
    </w:rPr>
  </w:style>
  <w:style w:type="character" w:customStyle="1" w:styleId="Heading2Char">
    <w:name w:val="Heading 2 Char"/>
    <w:basedOn w:val="DefaultParagraphFont"/>
    <w:link w:val="Heading2"/>
    <w:uiPriority w:val="9"/>
    <w:rsid w:val="00037FF8"/>
    <w:rPr>
      <w:rFonts w:asciiTheme="majorHAnsi" w:eastAsiaTheme="majorEastAsia" w:hAnsiTheme="majorHAnsi" w:cstheme="majorBidi"/>
      <w:b/>
      <w:bCs/>
      <w:color w:val="4F81BD" w:themeColor="accent1"/>
      <w:sz w:val="26"/>
      <w:szCs w:val="26"/>
      <w:lang w:val="pt-PT"/>
    </w:rPr>
  </w:style>
  <w:style w:type="character" w:styleId="Emphasis">
    <w:name w:val="Emphasis"/>
    <w:uiPriority w:val="20"/>
    <w:qFormat/>
    <w:rsid w:val="006B29E2"/>
    <w:rPr>
      <w:i/>
      <w:iCs/>
    </w:rPr>
  </w:style>
  <w:style w:type="character" w:styleId="Strong">
    <w:name w:val="Strong"/>
    <w:uiPriority w:val="22"/>
    <w:qFormat/>
    <w:rsid w:val="006B29E2"/>
    <w:rPr>
      <w:b/>
      <w:bCs/>
    </w:rPr>
  </w:style>
  <w:style w:type="paragraph" w:styleId="TOC2">
    <w:name w:val="toc 2"/>
    <w:basedOn w:val="Normal"/>
    <w:next w:val="Normal"/>
    <w:autoRedefine/>
    <w:uiPriority w:val="39"/>
    <w:unhideWhenUsed/>
    <w:rsid w:val="00AB0FD3"/>
    <w:pPr>
      <w:spacing w:after="100"/>
      <w:ind w:left="220"/>
    </w:pPr>
  </w:style>
  <w:style w:type="character" w:customStyle="1" w:styleId="Heading3Char">
    <w:name w:val="Heading 3 Char"/>
    <w:basedOn w:val="DefaultParagraphFont"/>
    <w:link w:val="Heading3"/>
    <w:uiPriority w:val="9"/>
    <w:rsid w:val="00FF134F"/>
    <w:rPr>
      <w:rFonts w:ascii="Times New Roman" w:eastAsia="Times New Roman" w:hAnsi="Times New Roman" w:cs="Times New Roman"/>
      <w:sz w:val="24"/>
      <w:szCs w:val="24"/>
      <w:u w:val="single"/>
      <w:lang w:eastAsia="en-GB"/>
    </w:rPr>
  </w:style>
  <w:style w:type="character" w:customStyle="1" w:styleId="Heading4Char">
    <w:name w:val="Heading 4 Char"/>
    <w:basedOn w:val="DefaultParagraphFont"/>
    <w:link w:val="Heading4"/>
    <w:uiPriority w:val="9"/>
    <w:rsid w:val="00FF134F"/>
    <w:rPr>
      <w:rFonts w:ascii="Times New Roman" w:eastAsia="Times New Roman" w:hAnsi="Times New Roman" w:cs="Times New Roman"/>
      <w:sz w:val="24"/>
      <w:szCs w:val="24"/>
      <w:u w:val="single"/>
      <w:lang w:eastAsia="en-GB"/>
    </w:rPr>
  </w:style>
  <w:style w:type="character" w:customStyle="1" w:styleId="Heading5Char">
    <w:name w:val="Heading 5 Char"/>
    <w:basedOn w:val="DefaultParagraphFont"/>
    <w:link w:val="Heading5"/>
    <w:rsid w:val="00FF134F"/>
    <w:rPr>
      <w:rFonts w:ascii="Times New Roman" w:eastAsia="Times New Roman" w:hAnsi="Times New Roman" w:cs="Times New Roman"/>
      <w:b/>
      <w:bCs/>
      <w:sz w:val="24"/>
      <w:szCs w:val="24"/>
      <w:lang w:eastAsia="en-GB"/>
    </w:rPr>
  </w:style>
  <w:style w:type="character" w:customStyle="1" w:styleId="Heading6Char">
    <w:name w:val="Heading 6 Char"/>
    <w:basedOn w:val="DefaultParagraphFont"/>
    <w:link w:val="Heading6"/>
    <w:rsid w:val="00FF134F"/>
    <w:rPr>
      <w:rFonts w:ascii="Times New Roman" w:eastAsia="Times New Roman" w:hAnsi="Times New Roman" w:cs="Times New Roman"/>
      <w:b/>
      <w:bCs/>
      <w:sz w:val="24"/>
      <w:szCs w:val="24"/>
      <w:lang w:eastAsia="en-GB"/>
    </w:rPr>
  </w:style>
  <w:style w:type="paragraph" w:customStyle="1" w:styleId="Char1CharCharCharCharChar">
    <w:name w:val="Char1 Char Char Char Char Char"/>
    <w:basedOn w:val="Normal"/>
    <w:rsid w:val="00FF134F"/>
    <w:pPr>
      <w:spacing w:before="0" w:after="160" w:line="240" w:lineRule="exact"/>
    </w:pPr>
    <w:rPr>
      <w:rFonts w:ascii="Arial" w:eastAsia="Times New Roman" w:hAnsi="Arial"/>
      <w:sz w:val="20"/>
      <w:szCs w:val="20"/>
      <w:lang w:val="en-US"/>
    </w:rPr>
  </w:style>
  <w:style w:type="character" w:styleId="PageNumber">
    <w:name w:val="page number"/>
    <w:aliases w:val="Seitenzahl Verdana 9p – Regular"/>
    <w:basedOn w:val="DefaultParagraphFont"/>
    <w:rsid w:val="00FF134F"/>
  </w:style>
  <w:style w:type="paragraph" w:styleId="BodyText">
    <w:name w:val="Body Text"/>
    <w:basedOn w:val="Normal"/>
    <w:link w:val="BodyTextChar"/>
    <w:rsid w:val="00FF134F"/>
    <w:pPr>
      <w:spacing w:before="0" w:after="0"/>
      <w:jc w:val="both"/>
    </w:pPr>
    <w:rPr>
      <w:rFonts w:ascii="Times New Roman" w:eastAsia="Times New Roman" w:hAnsi="Times New Roman"/>
      <w:sz w:val="24"/>
      <w:lang w:val="en-GB" w:eastAsia="en-GB"/>
    </w:rPr>
  </w:style>
  <w:style w:type="character" w:customStyle="1" w:styleId="BodyTextChar">
    <w:name w:val="Body Text Char"/>
    <w:basedOn w:val="DefaultParagraphFont"/>
    <w:link w:val="BodyText"/>
    <w:rsid w:val="00FF134F"/>
    <w:rPr>
      <w:rFonts w:ascii="Times New Roman" w:eastAsia="Times New Roman" w:hAnsi="Times New Roman" w:cs="Times New Roman"/>
      <w:sz w:val="24"/>
      <w:szCs w:val="24"/>
      <w:lang w:eastAsia="en-GB"/>
    </w:rPr>
  </w:style>
  <w:style w:type="paragraph" w:styleId="BodyTextIndent">
    <w:name w:val="Body Text Indent"/>
    <w:basedOn w:val="Normal"/>
    <w:link w:val="BodyTextIndentChar"/>
    <w:rsid w:val="00FF134F"/>
    <w:pPr>
      <w:spacing w:before="0" w:after="0"/>
      <w:ind w:left="180"/>
      <w:jc w:val="both"/>
    </w:pPr>
    <w:rPr>
      <w:rFonts w:ascii="Times New Roman" w:eastAsia="Times New Roman" w:hAnsi="Times New Roman"/>
      <w:sz w:val="24"/>
      <w:szCs w:val="22"/>
      <w:lang w:val="en-GB" w:eastAsia="en-GB"/>
    </w:rPr>
  </w:style>
  <w:style w:type="character" w:customStyle="1" w:styleId="BodyTextIndentChar">
    <w:name w:val="Body Text Indent Char"/>
    <w:basedOn w:val="DefaultParagraphFont"/>
    <w:link w:val="BodyTextIndent"/>
    <w:rsid w:val="00FF134F"/>
    <w:rPr>
      <w:rFonts w:ascii="Times New Roman" w:eastAsia="Times New Roman" w:hAnsi="Times New Roman" w:cs="Times New Roman"/>
      <w:sz w:val="24"/>
      <w:lang w:eastAsia="en-GB"/>
    </w:rPr>
  </w:style>
  <w:style w:type="paragraph" w:customStyle="1" w:styleId="Paragraphedeliste1">
    <w:name w:val="Paragraphe de liste1"/>
    <w:basedOn w:val="Normal"/>
    <w:qFormat/>
    <w:rsid w:val="00FF134F"/>
    <w:pPr>
      <w:spacing w:before="0" w:after="0"/>
      <w:ind w:left="708"/>
    </w:pPr>
    <w:rPr>
      <w:rFonts w:ascii="Times New Roman" w:eastAsia="Times New Roman" w:hAnsi="Times New Roman"/>
      <w:sz w:val="24"/>
      <w:lang w:val="en-GB" w:eastAsia="en-GB"/>
    </w:rPr>
  </w:style>
  <w:style w:type="paragraph" w:customStyle="1" w:styleId="Rvision1">
    <w:name w:val="Révision1"/>
    <w:hidden/>
    <w:uiPriority w:val="99"/>
    <w:semiHidden/>
    <w:rsid w:val="00FF134F"/>
    <w:pPr>
      <w:spacing w:after="0" w:line="240" w:lineRule="auto"/>
    </w:pPr>
    <w:rPr>
      <w:rFonts w:ascii="Times New Roman" w:eastAsia="Times New Roman" w:hAnsi="Times New Roman" w:cs="Times New Roman"/>
      <w:sz w:val="24"/>
      <w:szCs w:val="24"/>
      <w:lang w:eastAsia="en-GB"/>
    </w:rPr>
  </w:style>
  <w:style w:type="paragraph" w:styleId="TOC3">
    <w:name w:val="toc 3"/>
    <w:basedOn w:val="Normal"/>
    <w:next w:val="Normal"/>
    <w:autoRedefine/>
    <w:uiPriority w:val="39"/>
    <w:rsid w:val="00FF134F"/>
    <w:pPr>
      <w:tabs>
        <w:tab w:val="right" w:leader="dot" w:pos="9072"/>
      </w:tabs>
      <w:spacing w:before="0" w:after="0"/>
      <w:ind w:left="482"/>
    </w:pPr>
    <w:rPr>
      <w:rFonts w:ascii="Arial" w:eastAsia="Times New Roman" w:hAnsi="Arial" w:cs="Arial"/>
      <w:bCs/>
      <w:noProof/>
      <w:lang w:val="en-GB" w:eastAsia="en-GB"/>
    </w:rPr>
  </w:style>
  <w:style w:type="character" w:customStyle="1" w:styleId="CharChar1">
    <w:name w:val="Char Char1"/>
    <w:semiHidden/>
    <w:rsid w:val="00FF134F"/>
    <w:rPr>
      <w:lang w:val="en-GB" w:eastAsia="en-GB" w:bidi="ar-SA"/>
    </w:rPr>
  </w:style>
  <w:style w:type="paragraph" w:customStyle="1" w:styleId="QISIndentCharCharChar">
    <w:name w:val="QISIndent Char Char Char"/>
    <w:basedOn w:val="Normal"/>
    <w:rsid w:val="00FF134F"/>
    <w:pPr>
      <w:spacing w:before="0" w:after="240"/>
      <w:ind w:left="1134"/>
      <w:jc w:val="both"/>
    </w:pPr>
    <w:rPr>
      <w:rFonts w:eastAsia="MS Mincho"/>
      <w:szCs w:val="20"/>
      <w:lang w:val="en-GB" w:eastAsia="ja-JP"/>
    </w:rPr>
  </w:style>
  <w:style w:type="paragraph" w:customStyle="1" w:styleId="StyleHeading2Arial14ptBefore12ptAfter3pt">
    <w:name w:val="Style Heading 2 + Arial 14 pt Before:  12 pt After:  3 pt"/>
    <w:basedOn w:val="Heading2"/>
    <w:rsid w:val="00FF134F"/>
    <w:pPr>
      <w:keepLines w:val="0"/>
      <w:spacing w:before="240" w:after="60"/>
    </w:pPr>
    <w:rPr>
      <w:rFonts w:ascii="Arial" w:eastAsia="Times New Roman" w:hAnsi="Arial" w:cs="Times New Roman"/>
      <w:color w:val="auto"/>
      <w:sz w:val="28"/>
      <w:szCs w:val="20"/>
      <w:lang w:val="en-GB" w:eastAsia="en-GB"/>
    </w:rPr>
  </w:style>
  <w:style w:type="paragraph" w:customStyle="1" w:styleId="ListParagraph2">
    <w:name w:val="List Paragraph2"/>
    <w:basedOn w:val="Normal"/>
    <w:uiPriority w:val="34"/>
    <w:qFormat/>
    <w:rsid w:val="00FF134F"/>
    <w:pPr>
      <w:spacing w:before="0" w:after="200" w:line="276" w:lineRule="auto"/>
      <w:ind w:left="720"/>
      <w:contextualSpacing/>
    </w:pPr>
    <w:rPr>
      <w:rFonts w:ascii="Calibri" w:eastAsia="Times New Roman" w:hAnsi="Calibri"/>
      <w:szCs w:val="22"/>
    </w:rPr>
  </w:style>
  <w:style w:type="paragraph" w:styleId="NormalWeb">
    <w:name w:val="Normal (Web)"/>
    <w:basedOn w:val="Normal"/>
    <w:rsid w:val="00FF134F"/>
    <w:pPr>
      <w:spacing w:before="0" w:after="0"/>
    </w:pPr>
    <w:rPr>
      <w:rFonts w:ascii="Times New Roman" w:eastAsia="Times New Roman" w:hAnsi="Times New Roman"/>
      <w:sz w:val="24"/>
      <w:lang w:val="en-GB" w:eastAsia="en-GB"/>
    </w:rPr>
  </w:style>
  <w:style w:type="paragraph" w:styleId="NoSpacing">
    <w:name w:val="No Spacing"/>
    <w:uiPriority w:val="1"/>
    <w:qFormat/>
    <w:rsid w:val="00FF134F"/>
    <w:pPr>
      <w:spacing w:after="0" w:line="240" w:lineRule="auto"/>
    </w:pPr>
    <w:rPr>
      <w:lang w:val="pl-PL"/>
    </w:rPr>
  </w:style>
  <w:style w:type="table" w:customStyle="1" w:styleId="Tabela-Siatka1">
    <w:name w:val="Tabela - Siatka1"/>
    <w:basedOn w:val="TableNormal"/>
    <w:next w:val="TableGrid"/>
    <w:uiPriority w:val="59"/>
    <w:rsid w:val="00FF13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rsid w:val="00FF134F"/>
    <w:pPr>
      <w:spacing w:before="0" w:line="480" w:lineRule="auto"/>
      <w:ind w:left="283"/>
    </w:pPr>
    <w:rPr>
      <w:rFonts w:ascii="Times New Roman" w:eastAsia="Times New Roman" w:hAnsi="Times New Roman"/>
      <w:sz w:val="24"/>
      <w:lang w:val="en-GB" w:eastAsia="en-GB"/>
    </w:rPr>
  </w:style>
  <w:style w:type="character" w:customStyle="1" w:styleId="BodyTextIndent2Char">
    <w:name w:val="Body Text Indent 2 Char"/>
    <w:basedOn w:val="DefaultParagraphFont"/>
    <w:link w:val="BodyTextIndent2"/>
    <w:uiPriority w:val="99"/>
    <w:rsid w:val="00FF134F"/>
    <w:rPr>
      <w:rFonts w:ascii="Times New Roman" w:eastAsia="Times New Roman" w:hAnsi="Times New Roman" w:cs="Times New Roman"/>
      <w:sz w:val="24"/>
      <w:szCs w:val="24"/>
      <w:lang w:eastAsia="en-GB"/>
    </w:rPr>
  </w:style>
  <w:style w:type="numbering" w:customStyle="1" w:styleId="NoList1">
    <w:name w:val="No List1"/>
    <w:next w:val="NoList"/>
    <w:uiPriority w:val="99"/>
    <w:semiHidden/>
    <w:unhideWhenUsed/>
    <w:rsid w:val="000902FB"/>
  </w:style>
  <w:style w:type="table" w:customStyle="1" w:styleId="TableGrid2">
    <w:name w:val="Table Grid2"/>
    <w:basedOn w:val="TableNormal"/>
    <w:next w:val="TableGrid"/>
    <w:uiPriority w:val="99"/>
    <w:rsid w:val="000902FB"/>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401">
    <w:name w:val="EmailStyle401"/>
    <w:semiHidden/>
    <w:rsid w:val="000902FB"/>
    <w:rPr>
      <w:rFonts w:ascii="Arial" w:hAnsi="Arial" w:cs="Arial"/>
      <w:color w:val="auto"/>
      <w:sz w:val="20"/>
      <w:szCs w:val="20"/>
    </w:rPr>
  </w:style>
  <w:style w:type="paragraph" w:customStyle="1" w:styleId="PargrafodaLista1">
    <w:name w:val="Parágrafo da Lista1"/>
    <w:basedOn w:val="Normal"/>
    <w:uiPriority w:val="34"/>
    <w:qFormat/>
    <w:rsid w:val="000902FB"/>
    <w:pPr>
      <w:spacing w:before="0" w:after="0"/>
      <w:ind w:left="720"/>
    </w:pPr>
    <w:rPr>
      <w:rFonts w:ascii="Times New Roman" w:eastAsia="Times New Roman" w:hAnsi="Times New Roman"/>
      <w:sz w:val="24"/>
      <w:lang w:val="en-GB" w:eastAsia="en-GB"/>
    </w:rPr>
  </w:style>
  <w:style w:type="paragraph" w:customStyle="1" w:styleId="04fBodytextblue">
    <w:name w:val="04f_Body text blue"/>
    <w:basedOn w:val="Normal"/>
    <w:rsid w:val="000902FB"/>
    <w:pPr>
      <w:pBdr>
        <w:bottom w:val="single" w:sz="4" w:space="12" w:color="283583"/>
      </w:pBdr>
      <w:spacing w:before="0" w:after="250" w:line="276" w:lineRule="auto"/>
      <w:jc w:val="both"/>
    </w:pPr>
    <w:rPr>
      <w:rFonts w:ascii="Georgia" w:hAnsi="Georgia"/>
      <w:color w:val="2D4190"/>
      <w:sz w:val="20"/>
      <w:lang w:val="en-GB" w:eastAsia="de-DE"/>
    </w:rPr>
  </w:style>
  <w:style w:type="paragraph" w:customStyle="1" w:styleId="Datedadoption">
    <w:name w:val="Date d'adoption"/>
    <w:basedOn w:val="Normal"/>
    <w:next w:val="Normal"/>
    <w:rsid w:val="000902FB"/>
    <w:pPr>
      <w:spacing w:before="360" w:after="0"/>
      <w:jc w:val="center"/>
    </w:pPr>
    <w:rPr>
      <w:rFonts w:ascii="Times New Roman" w:hAnsi="Times New Roman"/>
      <w:b/>
      <w:sz w:val="24"/>
      <w:lang w:val="en-GB" w:eastAsia="de-DE"/>
    </w:rPr>
  </w:style>
  <w:style w:type="paragraph" w:customStyle="1" w:styleId="Institutionquiagit">
    <w:name w:val="Institution qui agit"/>
    <w:basedOn w:val="Normal"/>
    <w:next w:val="Normal"/>
    <w:rsid w:val="000902FB"/>
    <w:pPr>
      <w:keepNext/>
      <w:spacing w:before="600"/>
      <w:jc w:val="both"/>
    </w:pPr>
    <w:rPr>
      <w:rFonts w:ascii="Times New Roman" w:hAnsi="Times New Roman"/>
      <w:sz w:val="24"/>
      <w:lang w:val="en-GB" w:eastAsia="de-DE"/>
    </w:rPr>
  </w:style>
  <w:style w:type="paragraph" w:customStyle="1" w:styleId="Typedudocument">
    <w:name w:val="Type du document"/>
    <w:basedOn w:val="Normal"/>
    <w:next w:val="Datedadoption"/>
    <w:rsid w:val="000902FB"/>
    <w:pPr>
      <w:spacing w:before="360" w:after="0"/>
      <w:jc w:val="center"/>
    </w:pPr>
    <w:rPr>
      <w:rFonts w:ascii="Times New Roman" w:hAnsi="Times New Roman"/>
      <w:b/>
      <w:sz w:val="24"/>
      <w:lang w:val="en-GB" w:eastAsia="de-DE"/>
    </w:rPr>
  </w:style>
  <w:style w:type="paragraph" w:customStyle="1" w:styleId="Formuledadoption">
    <w:name w:val="Formule d'adoption"/>
    <w:basedOn w:val="Normal"/>
    <w:next w:val="Normal"/>
    <w:rsid w:val="000902FB"/>
    <w:pPr>
      <w:keepNext/>
      <w:jc w:val="both"/>
    </w:pPr>
    <w:rPr>
      <w:rFonts w:ascii="Times New Roman" w:hAnsi="Times New Roman"/>
      <w:sz w:val="24"/>
      <w:lang w:val="en-GB" w:eastAsia="de-DE"/>
    </w:rPr>
  </w:style>
  <w:style w:type="paragraph" w:customStyle="1" w:styleId="Applicationdirecte">
    <w:name w:val="Application directe"/>
    <w:basedOn w:val="Normal"/>
    <w:next w:val="Fait"/>
    <w:rsid w:val="000902FB"/>
    <w:pPr>
      <w:spacing w:before="480"/>
      <w:jc w:val="both"/>
    </w:pPr>
    <w:rPr>
      <w:rFonts w:ascii="Times New Roman" w:hAnsi="Times New Roman"/>
      <w:sz w:val="24"/>
      <w:lang w:val="en-GB" w:eastAsia="de-DE"/>
    </w:rPr>
  </w:style>
  <w:style w:type="paragraph" w:customStyle="1" w:styleId="Personnequisigne">
    <w:name w:val="Personne qui signe"/>
    <w:basedOn w:val="Normal"/>
    <w:next w:val="Institutionquisigne"/>
    <w:rsid w:val="000902FB"/>
    <w:pPr>
      <w:tabs>
        <w:tab w:val="left" w:pos="4252"/>
      </w:tabs>
      <w:spacing w:before="0" w:after="0"/>
    </w:pPr>
    <w:rPr>
      <w:rFonts w:ascii="Times New Roman" w:hAnsi="Times New Roman"/>
      <w:i/>
      <w:sz w:val="24"/>
      <w:lang w:val="en-GB" w:eastAsia="de-DE"/>
    </w:rPr>
  </w:style>
  <w:style w:type="character" w:styleId="FollowedHyperlink">
    <w:name w:val="FollowedHyperlink"/>
    <w:rsid w:val="000902FB"/>
    <w:rPr>
      <w:color w:val="800080"/>
      <w:u w:val="single"/>
    </w:rPr>
  </w:style>
  <w:style w:type="paragraph" w:customStyle="1" w:styleId="Annexetitre">
    <w:name w:val="Annexe titre"/>
    <w:basedOn w:val="Normal"/>
    <w:next w:val="Normal"/>
    <w:rsid w:val="000902FB"/>
    <w:pPr>
      <w:jc w:val="center"/>
    </w:pPr>
    <w:rPr>
      <w:rFonts w:ascii="Times New Roman" w:hAnsi="Times New Roman"/>
      <w:b/>
      <w:sz w:val="24"/>
      <w:u w:val="single"/>
      <w:lang w:val="en-GB"/>
    </w:rPr>
  </w:style>
  <w:style w:type="paragraph" w:customStyle="1" w:styleId="AlineasCEIOPS">
    <w:name w:val="Alinea's CEIOPS"/>
    <w:basedOn w:val="Normal"/>
    <w:link w:val="AlineasCEIOPSChar"/>
    <w:rsid w:val="000902FB"/>
    <w:pPr>
      <w:numPr>
        <w:numId w:val="5"/>
      </w:numPr>
      <w:spacing w:before="0" w:after="0"/>
      <w:ind w:left="567" w:hanging="567"/>
      <w:jc w:val="both"/>
    </w:pPr>
    <w:rPr>
      <w:rFonts w:eastAsia="Times New Roman"/>
      <w:lang w:val="en-GB" w:eastAsia="en-GB"/>
    </w:rPr>
  </w:style>
  <w:style w:type="character" w:customStyle="1" w:styleId="AlineasCEIOPSChar">
    <w:name w:val="Alinea's CEIOPS Char"/>
    <w:link w:val="AlineasCEIOPS"/>
    <w:rsid w:val="000902FB"/>
    <w:rPr>
      <w:rFonts w:ascii="Verdana" w:eastAsia="Times New Roman" w:hAnsi="Verdana" w:cs="Times New Roman"/>
      <w:szCs w:val="24"/>
      <w:lang w:eastAsia="en-GB"/>
    </w:rPr>
  </w:style>
  <w:style w:type="paragraph" w:customStyle="1" w:styleId="Reviso1">
    <w:name w:val="Revisão1"/>
    <w:hidden/>
    <w:uiPriority w:val="99"/>
    <w:semiHidden/>
    <w:rsid w:val="000902FB"/>
    <w:pPr>
      <w:spacing w:after="0" w:line="240" w:lineRule="auto"/>
    </w:pPr>
    <w:rPr>
      <w:rFonts w:ascii="Times New Roman" w:eastAsia="Times New Roman" w:hAnsi="Times New Roman" w:cs="Times New Roman"/>
      <w:sz w:val="24"/>
      <w:szCs w:val="24"/>
      <w:lang w:eastAsia="en-GB"/>
    </w:rPr>
  </w:style>
  <w:style w:type="paragraph" w:customStyle="1" w:styleId="Point2">
    <w:name w:val="Point 2"/>
    <w:basedOn w:val="Normal"/>
    <w:rsid w:val="000902FB"/>
    <w:pPr>
      <w:ind w:left="1984" w:hanging="567"/>
      <w:jc w:val="both"/>
    </w:pPr>
    <w:rPr>
      <w:rFonts w:ascii="Times New Roman" w:eastAsia="Times New Roman" w:hAnsi="Times New Roman"/>
      <w:sz w:val="24"/>
      <w:lang w:val="en-GB" w:eastAsia="de-DE"/>
    </w:rPr>
  </w:style>
  <w:style w:type="paragraph" w:customStyle="1" w:styleId="Point3">
    <w:name w:val="Point 3"/>
    <w:basedOn w:val="Normal"/>
    <w:rsid w:val="000902FB"/>
    <w:pPr>
      <w:ind w:left="2551" w:hanging="567"/>
      <w:jc w:val="both"/>
    </w:pPr>
    <w:rPr>
      <w:rFonts w:ascii="Times New Roman" w:eastAsia="Times New Roman" w:hAnsi="Times New Roman"/>
      <w:sz w:val="24"/>
      <w:lang w:val="en-GB" w:eastAsia="de-DE"/>
    </w:rPr>
  </w:style>
  <w:style w:type="paragraph" w:customStyle="1" w:styleId="ContinuousSquareBullet">
    <w:name w:val="Continuous Square Bullet"/>
    <w:basedOn w:val="Normal"/>
    <w:uiPriority w:val="99"/>
    <w:rsid w:val="000902FB"/>
    <w:pPr>
      <w:numPr>
        <w:numId w:val="6"/>
      </w:numPr>
      <w:spacing w:before="0" w:after="280" w:line="280" w:lineRule="exact"/>
    </w:pPr>
    <w:rPr>
      <w:rFonts w:ascii="Arial" w:eastAsia="Times New Roman" w:hAnsi="Arial" w:cs="Arial"/>
      <w:sz w:val="23"/>
      <w:szCs w:val="23"/>
      <w:lang w:val="en-GB"/>
    </w:rPr>
  </w:style>
  <w:style w:type="paragraph" w:customStyle="1" w:styleId="EP-ReferenznummerVerdana10pRegular">
    <w:name w:val="EP-Referenznummer Verdana 10p Regular"/>
    <w:basedOn w:val="Normal"/>
    <w:qFormat/>
    <w:rsid w:val="000902FB"/>
    <w:pPr>
      <w:spacing w:before="0" w:after="2840"/>
      <w:jc w:val="right"/>
    </w:pPr>
    <w:rPr>
      <w:rFonts w:eastAsia="MS Mincho"/>
      <w:sz w:val="20"/>
      <w:szCs w:val="22"/>
      <w:lang w:val="de-DE" w:eastAsia="de-DE"/>
    </w:rPr>
  </w:style>
  <w:style w:type="paragraph" w:customStyle="1" w:styleId="Adviceonect24p">
    <w:name w:val="Advice on... ect. 24p"/>
    <w:basedOn w:val="Normal"/>
    <w:next w:val="Normal"/>
    <w:qFormat/>
    <w:rsid w:val="000902FB"/>
    <w:pPr>
      <w:pBdr>
        <w:top w:val="single" w:sz="4" w:space="25" w:color="D0E7F6"/>
        <w:left w:val="single" w:sz="4" w:space="8" w:color="D0E7F6"/>
        <w:bottom w:val="single" w:sz="4" w:space="30" w:color="D0E7F6"/>
        <w:right w:val="single" w:sz="4" w:space="8" w:color="D0E7F6"/>
      </w:pBdr>
      <w:shd w:val="clear" w:color="auto" w:fill="D0E7F6"/>
      <w:spacing w:before="0" w:after="0"/>
      <w:ind w:left="170" w:right="170"/>
      <w:jc w:val="center"/>
    </w:pPr>
    <w:rPr>
      <w:rFonts w:eastAsia="MS Mincho"/>
      <w:b/>
      <w:bCs/>
      <w:sz w:val="48"/>
      <w:szCs w:val="48"/>
      <w:lang w:val="de-DE" w:eastAsia="de-DE"/>
    </w:rPr>
  </w:style>
  <w:style w:type="paragraph" w:customStyle="1" w:styleId="Subjectxxx24p">
    <w:name w:val="Subject xxx 24p"/>
    <w:basedOn w:val="Normal"/>
    <w:next w:val="Normal"/>
    <w:qFormat/>
    <w:rsid w:val="000902FB"/>
    <w:pPr>
      <w:pBdr>
        <w:top w:val="single" w:sz="4" w:space="8" w:color="D0E7F6"/>
        <w:left w:val="single" w:sz="4" w:space="8" w:color="D0E7F6"/>
        <w:bottom w:val="single" w:sz="4" w:space="8" w:color="D0E7F6"/>
        <w:right w:val="single" w:sz="4" w:space="8" w:color="D0E7F6"/>
      </w:pBdr>
      <w:shd w:val="clear" w:color="auto" w:fill="D0E7F6"/>
      <w:spacing w:before="0" w:after="0"/>
      <w:ind w:left="170" w:right="170"/>
      <w:jc w:val="center"/>
    </w:pPr>
    <w:rPr>
      <w:rFonts w:eastAsia="MS Mincho"/>
      <w:b/>
      <w:bCs/>
      <w:sz w:val="48"/>
      <w:szCs w:val="48"/>
      <w:lang w:val="de-DE" w:eastAsia="de-DE"/>
    </w:rPr>
  </w:style>
  <w:style w:type="paragraph" w:customStyle="1" w:styleId="Pagedecouverture">
    <w:name w:val="Page de couverture"/>
    <w:basedOn w:val="Normal"/>
    <w:next w:val="Normal"/>
    <w:rsid w:val="000902FB"/>
    <w:pPr>
      <w:jc w:val="both"/>
    </w:pPr>
    <w:rPr>
      <w:rFonts w:ascii="Times New Roman" w:eastAsia="Times New Roman" w:hAnsi="Times New Roman"/>
      <w:sz w:val="24"/>
      <w:lang w:val="en-GB"/>
    </w:rPr>
  </w:style>
  <w:style w:type="paragraph" w:customStyle="1" w:styleId="PlainText1">
    <w:name w:val="Plain Text1"/>
    <w:basedOn w:val="Normal"/>
    <w:next w:val="PlainText"/>
    <w:link w:val="PlainTextChar"/>
    <w:uiPriority w:val="99"/>
    <w:semiHidden/>
    <w:unhideWhenUsed/>
    <w:rsid w:val="000902FB"/>
    <w:pPr>
      <w:spacing w:before="0" w:after="0"/>
    </w:pPr>
    <w:rPr>
      <w:rFonts w:ascii="Calibri" w:hAnsi="Calibri" w:cs="Calibri"/>
      <w:szCs w:val="22"/>
      <w:lang w:val="en-GB" w:eastAsia="en-GB"/>
    </w:rPr>
  </w:style>
  <w:style w:type="character" w:customStyle="1" w:styleId="PlainTextChar">
    <w:name w:val="Plain Text Char"/>
    <w:basedOn w:val="DefaultParagraphFont"/>
    <w:link w:val="PlainText1"/>
    <w:uiPriority w:val="99"/>
    <w:semiHidden/>
    <w:rsid w:val="000902FB"/>
    <w:rPr>
      <w:rFonts w:ascii="Calibri" w:eastAsia="Calibri" w:hAnsi="Calibri" w:cs="Calibri"/>
      <w:sz w:val="22"/>
      <w:szCs w:val="22"/>
      <w:lang w:val="en-GB" w:eastAsia="en-GB"/>
    </w:rPr>
  </w:style>
  <w:style w:type="paragraph" w:customStyle="1" w:styleId="Considrant">
    <w:name w:val="Considérant"/>
    <w:basedOn w:val="Normal"/>
    <w:rsid w:val="000902FB"/>
    <w:pPr>
      <w:numPr>
        <w:numId w:val="7"/>
      </w:numPr>
      <w:jc w:val="both"/>
    </w:pPr>
    <w:rPr>
      <w:rFonts w:ascii="Times New Roman" w:eastAsia="Times New Roman" w:hAnsi="Times New Roman"/>
      <w:sz w:val="24"/>
      <w:lang w:val="en-GB"/>
    </w:rPr>
  </w:style>
  <w:style w:type="numbering" w:customStyle="1" w:styleId="Style11">
    <w:name w:val="Style11"/>
    <w:basedOn w:val="NoList"/>
    <w:uiPriority w:val="99"/>
    <w:rsid w:val="000902FB"/>
  </w:style>
  <w:style w:type="paragraph" w:customStyle="1" w:styleId="ListParagraph1">
    <w:name w:val="List Paragraph1"/>
    <w:basedOn w:val="Normal"/>
    <w:qFormat/>
    <w:rsid w:val="000902FB"/>
    <w:pPr>
      <w:spacing w:before="0" w:after="0"/>
      <w:ind w:left="720"/>
    </w:pPr>
    <w:rPr>
      <w:rFonts w:ascii="Times New Roman" w:hAnsi="Times New Roman"/>
      <w:sz w:val="24"/>
      <w:lang w:val="en-GB" w:eastAsia="en-GB"/>
    </w:rPr>
  </w:style>
  <w:style w:type="paragraph" w:customStyle="1" w:styleId="Listeafsnit1">
    <w:name w:val="Listeafsnit1"/>
    <w:basedOn w:val="Normal"/>
    <w:rsid w:val="000902FB"/>
    <w:pPr>
      <w:spacing w:before="0" w:after="0"/>
      <w:ind w:left="720"/>
      <w:jc w:val="both"/>
    </w:pPr>
    <w:rPr>
      <w:rFonts w:ascii="Times New Roman" w:hAnsi="Times New Roman"/>
      <w:szCs w:val="20"/>
      <w:lang w:val="fr-FR" w:eastAsia="fr-FR"/>
    </w:rPr>
  </w:style>
  <w:style w:type="character" w:customStyle="1" w:styleId="FootnoteCharacters">
    <w:name w:val="Footnote Characters"/>
    <w:rsid w:val="000902FB"/>
    <w:rPr>
      <w:vertAlign w:val="superscript"/>
    </w:rPr>
  </w:style>
  <w:style w:type="paragraph" w:customStyle="1" w:styleId="ManualConsidrant">
    <w:name w:val="Manual Considérant"/>
    <w:basedOn w:val="Normal"/>
    <w:rsid w:val="000902FB"/>
    <w:pPr>
      <w:ind w:left="709" w:hanging="709"/>
      <w:jc w:val="both"/>
    </w:pPr>
    <w:rPr>
      <w:rFonts w:ascii="Times New Roman" w:eastAsia="Times New Roman" w:hAnsi="Times New Roman"/>
      <w:sz w:val="24"/>
      <w:lang w:val="en-GB" w:eastAsia="de-DE"/>
    </w:rPr>
  </w:style>
  <w:style w:type="paragraph" w:styleId="DocumentMap">
    <w:name w:val="Document Map"/>
    <w:basedOn w:val="Normal"/>
    <w:link w:val="DocumentMapChar"/>
    <w:rsid w:val="000902FB"/>
    <w:pPr>
      <w:spacing w:before="0" w:after="0"/>
    </w:pPr>
    <w:rPr>
      <w:rFonts w:ascii="Tahoma" w:hAnsi="Tahoma" w:cs="Tahoma"/>
      <w:sz w:val="16"/>
      <w:szCs w:val="16"/>
      <w:lang w:val="en-GB" w:eastAsia="en-GB"/>
    </w:rPr>
  </w:style>
  <w:style w:type="character" w:customStyle="1" w:styleId="DocumentMapChar">
    <w:name w:val="Document Map Char"/>
    <w:basedOn w:val="DefaultParagraphFont"/>
    <w:link w:val="DocumentMap"/>
    <w:rsid w:val="000902FB"/>
    <w:rPr>
      <w:rFonts w:ascii="Tahoma" w:eastAsia="Calibri" w:hAnsi="Tahoma" w:cs="Tahoma"/>
      <w:sz w:val="16"/>
      <w:szCs w:val="16"/>
      <w:lang w:eastAsia="en-GB"/>
    </w:rPr>
  </w:style>
  <w:style w:type="paragraph" w:styleId="PlainText">
    <w:name w:val="Plain Text"/>
    <w:basedOn w:val="Normal"/>
    <w:link w:val="PlainTextChar1"/>
    <w:uiPriority w:val="99"/>
    <w:semiHidden/>
    <w:unhideWhenUsed/>
    <w:rsid w:val="000902FB"/>
    <w:pPr>
      <w:spacing w:before="0" w:after="0"/>
    </w:pPr>
    <w:rPr>
      <w:rFonts w:ascii="Consolas" w:hAnsi="Consolas"/>
      <w:sz w:val="21"/>
      <w:szCs w:val="21"/>
    </w:rPr>
  </w:style>
  <w:style w:type="character" w:customStyle="1" w:styleId="PlainTextChar1">
    <w:name w:val="Plain Text Char1"/>
    <w:basedOn w:val="DefaultParagraphFont"/>
    <w:link w:val="PlainText"/>
    <w:uiPriority w:val="99"/>
    <w:semiHidden/>
    <w:rsid w:val="000902FB"/>
    <w:rPr>
      <w:rFonts w:ascii="Consolas" w:eastAsia="Calibri" w:hAnsi="Consolas" w:cs="Times New Roman"/>
      <w:sz w:val="21"/>
      <w:szCs w:val="21"/>
      <w:lang w:val="pt-PT"/>
    </w:rPr>
  </w:style>
  <w:style w:type="numbering" w:customStyle="1" w:styleId="NoList2">
    <w:name w:val="No List2"/>
    <w:next w:val="NoList"/>
    <w:uiPriority w:val="99"/>
    <w:semiHidden/>
    <w:unhideWhenUsed/>
    <w:rsid w:val="000902FB"/>
  </w:style>
  <w:style w:type="table" w:customStyle="1" w:styleId="TableGrid3">
    <w:name w:val="Table Grid3"/>
    <w:basedOn w:val="TableNormal"/>
    <w:next w:val="TableGrid"/>
    <w:rsid w:val="000902FB"/>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2">
    <w:name w:val="Style12"/>
    <w:basedOn w:val="NoList"/>
    <w:uiPriority w:val="99"/>
    <w:rsid w:val="000902FB"/>
    <w:pPr>
      <w:numPr>
        <w:numId w:val="11"/>
      </w:numPr>
    </w:pPr>
  </w:style>
  <w:style w:type="numbering" w:customStyle="1" w:styleId="NoList3">
    <w:name w:val="No List3"/>
    <w:next w:val="NoList"/>
    <w:uiPriority w:val="99"/>
    <w:semiHidden/>
    <w:unhideWhenUsed/>
    <w:rsid w:val="00A86315"/>
  </w:style>
  <w:style w:type="table" w:customStyle="1" w:styleId="TableGrid4">
    <w:name w:val="Table Grid4"/>
    <w:basedOn w:val="TableNormal"/>
    <w:next w:val="TableGrid"/>
    <w:rsid w:val="00A86315"/>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3">
    <w:name w:val="Style13"/>
    <w:basedOn w:val="NoList"/>
    <w:uiPriority w:val="99"/>
    <w:rsid w:val="00A86315"/>
  </w:style>
  <w:style w:type="numbering" w:customStyle="1" w:styleId="NoList4">
    <w:name w:val="No List4"/>
    <w:next w:val="NoList"/>
    <w:uiPriority w:val="99"/>
    <w:semiHidden/>
    <w:unhideWhenUsed/>
    <w:rsid w:val="001A4529"/>
  </w:style>
  <w:style w:type="table" w:customStyle="1" w:styleId="TableGrid5">
    <w:name w:val="Table Grid5"/>
    <w:basedOn w:val="TableNormal"/>
    <w:next w:val="TableGrid"/>
    <w:rsid w:val="001A4529"/>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4">
    <w:name w:val="Style14"/>
    <w:basedOn w:val="NoList"/>
    <w:uiPriority w:val="99"/>
    <w:rsid w:val="001A4529"/>
  </w:style>
  <w:style w:type="numbering" w:customStyle="1" w:styleId="NoList5">
    <w:name w:val="No List5"/>
    <w:next w:val="NoList"/>
    <w:uiPriority w:val="99"/>
    <w:semiHidden/>
    <w:unhideWhenUsed/>
    <w:rsid w:val="000D3CFF"/>
  </w:style>
  <w:style w:type="table" w:customStyle="1" w:styleId="TableGrid6">
    <w:name w:val="Table Grid6"/>
    <w:basedOn w:val="TableNormal"/>
    <w:next w:val="TableGrid"/>
    <w:rsid w:val="000D3CFF"/>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5">
    <w:name w:val="Style15"/>
    <w:basedOn w:val="NoList"/>
    <w:uiPriority w:val="99"/>
    <w:rsid w:val="000D3CFF"/>
  </w:style>
  <w:style w:type="paragraph" w:styleId="Title">
    <w:name w:val="Title"/>
    <w:aliases w:val="Document Title,Title Cover"/>
    <w:basedOn w:val="Normal"/>
    <w:link w:val="TitleChar"/>
    <w:uiPriority w:val="10"/>
    <w:qFormat/>
    <w:rsid w:val="006C1A1F"/>
    <w:pPr>
      <w:spacing w:before="0" w:after="0" w:line="360" w:lineRule="auto"/>
      <w:jc w:val="center"/>
    </w:pPr>
    <w:rPr>
      <w:rFonts w:ascii="Times New Roman" w:eastAsia="Times New Roman" w:hAnsi="Times New Roman"/>
      <w:b/>
      <w:bCs/>
      <w:sz w:val="28"/>
      <w:szCs w:val="20"/>
      <w:u w:val="single"/>
      <w:lang w:val="en-IE"/>
    </w:rPr>
  </w:style>
  <w:style w:type="character" w:customStyle="1" w:styleId="TitleChar">
    <w:name w:val="Title Char"/>
    <w:aliases w:val="Document Title Char,Title Cover Char"/>
    <w:basedOn w:val="DefaultParagraphFont"/>
    <w:link w:val="Title"/>
    <w:uiPriority w:val="10"/>
    <w:rsid w:val="006C1A1F"/>
    <w:rPr>
      <w:rFonts w:ascii="Times New Roman" w:eastAsia="Times New Roman" w:hAnsi="Times New Roman" w:cs="Times New Roman"/>
      <w:b/>
      <w:bCs/>
      <w:sz w:val="28"/>
      <w:szCs w:val="20"/>
      <w:u w:val="single"/>
      <w:lang w:val="en-IE"/>
    </w:rPr>
  </w:style>
  <w:style w:type="paragraph" w:customStyle="1" w:styleId="ReferenceNumber">
    <w:name w:val="Reference Number"/>
    <w:basedOn w:val="Normal"/>
    <w:qFormat/>
    <w:rsid w:val="0003733C"/>
    <w:pPr>
      <w:tabs>
        <w:tab w:val="left" w:pos="1480"/>
      </w:tabs>
      <w:spacing w:before="0" w:after="0"/>
      <w:jc w:val="right"/>
    </w:pPr>
    <w:rPr>
      <w:rFonts w:eastAsiaTheme="minorHAnsi" w:cstheme="minorBidi"/>
      <w:sz w:val="20"/>
      <w:szCs w:val="20"/>
      <w:lang w:val="en-GB"/>
    </w:rPr>
  </w:style>
  <w:style w:type="paragraph" w:customStyle="1" w:styleId="DocumentSubtitle">
    <w:name w:val="Document Subtitle"/>
    <w:basedOn w:val="Heading1"/>
    <w:qFormat/>
    <w:rsid w:val="0003733C"/>
    <w:pPr>
      <w:spacing w:before="240" w:after="60"/>
      <w:jc w:val="center"/>
    </w:pPr>
    <w:rPr>
      <w:rFonts w:ascii="Verdana" w:hAnsi="Verdana"/>
      <w:color w:val="auto"/>
      <w:lang w:val="en-GB"/>
    </w:rPr>
  </w:style>
  <w:style w:type="character" w:customStyle="1" w:styleId="Style10">
    <w:name w:val="Style10"/>
    <w:basedOn w:val="DefaultParagraphFont"/>
    <w:uiPriority w:val="1"/>
    <w:rsid w:val="0003733C"/>
    <w:rPr>
      <w:color w:val="FF0000"/>
    </w:rPr>
  </w:style>
  <w:style w:type="paragraph" w:customStyle="1" w:styleId="ConsultationItalic">
    <w:name w:val="Consultation Italic"/>
    <w:basedOn w:val="Normal"/>
    <w:rsid w:val="0003733C"/>
    <w:pPr>
      <w:numPr>
        <w:numId w:val="12"/>
      </w:numPr>
      <w:spacing w:before="0" w:line="276" w:lineRule="auto"/>
    </w:pPr>
    <w:rPr>
      <w:rFonts w:ascii="Times New Roman" w:eastAsia="Times New Roman" w:hAnsi="Times New Roman"/>
      <w:i/>
      <w:noProof/>
      <w:sz w:val="24"/>
      <w:lang w:val="en-GB" w:eastAsia="de-DE"/>
    </w:rPr>
  </w:style>
  <w:style w:type="paragraph" w:customStyle="1" w:styleId="Numberedparagraph">
    <w:name w:val="Numbered paragraph"/>
    <w:rsid w:val="007A75B6"/>
    <w:pPr>
      <w:numPr>
        <w:numId w:val="13"/>
      </w:numPr>
      <w:spacing w:after="240" w:line="280" w:lineRule="atLeast"/>
      <w:jc w:val="both"/>
    </w:pPr>
    <w:rPr>
      <w:rFonts w:ascii="Arial" w:eastAsia="Times New Roman" w:hAnsi="Arial" w:cs="Times New Roman"/>
      <w:szCs w:val="20"/>
    </w:rPr>
  </w:style>
  <w:style w:type="character" w:customStyle="1" w:styleId="super">
    <w:name w:val="super"/>
    <w:basedOn w:val="DefaultParagraphFont"/>
    <w:rsid w:val="00953548"/>
  </w:style>
  <w:style w:type="character" w:customStyle="1" w:styleId="apple-converted-space">
    <w:name w:val="apple-converted-space"/>
    <w:basedOn w:val="DefaultParagraphFont"/>
    <w:rsid w:val="00953548"/>
  </w:style>
  <w:style w:type="paragraph" w:customStyle="1" w:styleId="xl16824">
    <w:name w:val="xl16824"/>
    <w:basedOn w:val="Normal"/>
    <w:rsid w:val="004769D4"/>
    <w:pPr>
      <w:shd w:val="clear" w:color="000000" w:fill="FFFFFF"/>
      <w:spacing w:before="100" w:beforeAutospacing="1" w:after="100" w:afterAutospacing="1"/>
      <w:textAlignment w:val="center"/>
    </w:pPr>
    <w:rPr>
      <w:rFonts w:eastAsia="Times New Roman"/>
      <w:b/>
      <w:bCs/>
      <w:sz w:val="24"/>
      <w:lang w:val="en-GB" w:eastAsia="en-GB"/>
    </w:rPr>
  </w:style>
  <w:style w:type="character" w:customStyle="1" w:styleId="Underlined">
    <w:name w:val="Underlined"/>
    <w:basedOn w:val="DefaultParagraphFont"/>
    <w:uiPriority w:val="1"/>
    <w:qFormat/>
    <w:rsid w:val="00B46FB3"/>
    <w:rPr>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footnote reference"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66B"/>
    <w:pPr>
      <w:spacing w:before="120" w:after="120" w:line="240" w:lineRule="auto"/>
    </w:pPr>
    <w:rPr>
      <w:rFonts w:ascii="Verdana" w:eastAsia="Calibri" w:hAnsi="Verdana" w:cs="Times New Roman"/>
      <w:szCs w:val="24"/>
      <w:lang w:val="pt-PT"/>
    </w:rPr>
  </w:style>
  <w:style w:type="paragraph" w:styleId="Heading1">
    <w:name w:val="heading 1"/>
    <w:basedOn w:val="Normal"/>
    <w:next w:val="Normal"/>
    <w:link w:val="Heading1Char"/>
    <w:uiPriority w:val="9"/>
    <w:qFormat/>
    <w:rsid w:val="00BE62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37F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qFormat/>
    <w:rsid w:val="00FF134F"/>
    <w:pPr>
      <w:keepNext/>
      <w:spacing w:before="0" w:after="0"/>
      <w:ind w:left="180"/>
      <w:jc w:val="both"/>
      <w:outlineLvl w:val="2"/>
    </w:pPr>
    <w:rPr>
      <w:rFonts w:ascii="Times New Roman" w:eastAsia="Times New Roman" w:hAnsi="Times New Roman"/>
      <w:sz w:val="24"/>
      <w:u w:val="single"/>
      <w:lang w:val="en-GB" w:eastAsia="en-GB"/>
    </w:rPr>
  </w:style>
  <w:style w:type="paragraph" w:styleId="Heading4">
    <w:name w:val="heading 4"/>
    <w:basedOn w:val="Normal"/>
    <w:next w:val="Normal"/>
    <w:link w:val="Heading4Char"/>
    <w:uiPriority w:val="9"/>
    <w:qFormat/>
    <w:rsid w:val="00FF134F"/>
    <w:pPr>
      <w:keepNext/>
      <w:spacing w:before="0" w:after="0"/>
      <w:jc w:val="both"/>
      <w:outlineLvl w:val="3"/>
    </w:pPr>
    <w:rPr>
      <w:rFonts w:ascii="Times New Roman" w:eastAsia="Times New Roman" w:hAnsi="Times New Roman"/>
      <w:sz w:val="24"/>
      <w:u w:val="single"/>
      <w:lang w:val="en-GB" w:eastAsia="en-GB"/>
    </w:rPr>
  </w:style>
  <w:style w:type="paragraph" w:styleId="Heading5">
    <w:name w:val="heading 5"/>
    <w:basedOn w:val="Normal"/>
    <w:next w:val="Normal"/>
    <w:link w:val="Heading5Char"/>
    <w:qFormat/>
    <w:rsid w:val="00FF134F"/>
    <w:pPr>
      <w:keepNext/>
      <w:spacing w:before="0" w:after="0"/>
      <w:jc w:val="both"/>
      <w:outlineLvl w:val="4"/>
    </w:pPr>
    <w:rPr>
      <w:rFonts w:ascii="Times New Roman" w:eastAsia="Times New Roman" w:hAnsi="Times New Roman"/>
      <w:b/>
      <w:bCs/>
      <w:sz w:val="24"/>
      <w:lang w:val="en-GB" w:eastAsia="en-GB"/>
    </w:rPr>
  </w:style>
  <w:style w:type="paragraph" w:styleId="Heading6">
    <w:name w:val="heading 6"/>
    <w:basedOn w:val="Normal"/>
    <w:next w:val="Normal"/>
    <w:link w:val="Heading6Char"/>
    <w:qFormat/>
    <w:rsid w:val="00FF134F"/>
    <w:pPr>
      <w:keepNext/>
      <w:spacing w:before="0" w:after="0"/>
      <w:ind w:left="180"/>
      <w:jc w:val="both"/>
      <w:outlineLvl w:val="5"/>
    </w:pPr>
    <w:rPr>
      <w:rFonts w:ascii="Times New Roman" w:eastAsia="Times New Roman" w:hAnsi="Times New Roman"/>
      <w:b/>
      <w:bCs/>
      <w:sz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20FD"/>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0FD"/>
    <w:rPr>
      <w:rFonts w:ascii="Tahoma" w:eastAsia="Calibri" w:hAnsi="Tahoma" w:cs="Tahoma"/>
      <w:sz w:val="16"/>
      <w:szCs w:val="16"/>
      <w:lang w:val="pt-PT"/>
    </w:rPr>
  </w:style>
  <w:style w:type="paragraph" w:styleId="Header">
    <w:name w:val="header"/>
    <w:basedOn w:val="Normal"/>
    <w:link w:val="HeaderChar"/>
    <w:uiPriority w:val="99"/>
    <w:unhideWhenUsed/>
    <w:rsid w:val="001320FD"/>
    <w:pPr>
      <w:tabs>
        <w:tab w:val="center" w:pos="4513"/>
        <w:tab w:val="right" w:pos="9026"/>
      </w:tabs>
      <w:spacing w:before="0" w:after="0"/>
    </w:pPr>
  </w:style>
  <w:style w:type="character" w:customStyle="1" w:styleId="HeaderChar">
    <w:name w:val="Header Char"/>
    <w:basedOn w:val="DefaultParagraphFont"/>
    <w:link w:val="Header"/>
    <w:uiPriority w:val="99"/>
    <w:rsid w:val="001320FD"/>
    <w:rPr>
      <w:rFonts w:ascii="Verdana" w:eastAsia="Calibri" w:hAnsi="Verdana" w:cs="Times New Roman"/>
      <w:szCs w:val="24"/>
      <w:lang w:val="pt-PT"/>
    </w:rPr>
  </w:style>
  <w:style w:type="paragraph" w:styleId="Footer">
    <w:name w:val="footer"/>
    <w:aliases w:val="Fußzeile Verdana 8p Regular,Mittelachse"/>
    <w:basedOn w:val="Normal"/>
    <w:link w:val="FooterChar"/>
    <w:uiPriority w:val="99"/>
    <w:unhideWhenUsed/>
    <w:qFormat/>
    <w:rsid w:val="001320FD"/>
    <w:pPr>
      <w:tabs>
        <w:tab w:val="center" w:pos="4513"/>
        <w:tab w:val="right" w:pos="9026"/>
      </w:tabs>
      <w:spacing w:before="0" w:after="0"/>
    </w:pPr>
  </w:style>
  <w:style w:type="character" w:customStyle="1" w:styleId="FooterChar">
    <w:name w:val="Footer Char"/>
    <w:aliases w:val="Fußzeile Verdana 8p Regular Char,Mittelachse Char"/>
    <w:basedOn w:val="DefaultParagraphFont"/>
    <w:link w:val="Footer"/>
    <w:uiPriority w:val="99"/>
    <w:rsid w:val="001320FD"/>
    <w:rPr>
      <w:rFonts w:ascii="Verdana" w:eastAsia="Calibri" w:hAnsi="Verdana" w:cs="Times New Roman"/>
      <w:szCs w:val="24"/>
      <w:lang w:val="pt-PT"/>
    </w:rPr>
  </w:style>
  <w:style w:type="character" w:styleId="Hyperlink">
    <w:name w:val="Hyperlink"/>
    <w:uiPriority w:val="99"/>
    <w:rsid w:val="001320FD"/>
    <w:rPr>
      <w:rFonts w:cs="Times New Roman"/>
      <w:b/>
      <w:bCs/>
      <w:color w:val="0000FF"/>
      <w:u w:val="single"/>
    </w:rPr>
  </w:style>
  <w:style w:type="character" w:styleId="CommentReference">
    <w:name w:val="annotation reference"/>
    <w:rsid w:val="00784632"/>
    <w:rPr>
      <w:rFonts w:cs="Times New Roman"/>
      <w:sz w:val="16"/>
      <w:szCs w:val="16"/>
    </w:rPr>
  </w:style>
  <w:style w:type="paragraph" w:styleId="CommentText">
    <w:name w:val="annotation text"/>
    <w:basedOn w:val="Normal"/>
    <w:link w:val="CommentTextChar"/>
    <w:uiPriority w:val="99"/>
    <w:rsid w:val="00784632"/>
    <w:pPr>
      <w:ind w:left="1066" w:hanging="357"/>
      <w:jc w:val="both"/>
    </w:pPr>
    <w:rPr>
      <w:sz w:val="20"/>
      <w:szCs w:val="20"/>
      <w:lang w:val="en-GB" w:eastAsia="pt-PT"/>
    </w:rPr>
  </w:style>
  <w:style w:type="character" w:customStyle="1" w:styleId="CommentTextChar">
    <w:name w:val="Comment Text Char"/>
    <w:basedOn w:val="DefaultParagraphFont"/>
    <w:link w:val="CommentText"/>
    <w:uiPriority w:val="99"/>
    <w:rsid w:val="00784632"/>
    <w:rPr>
      <w:rFonts w:ascii="Verdana" w:eastAsia="Calibri" w:hAnsi="Verdana" w:cs="Times New Roman"/>
      <w:sz w:val="20"/>
      <w:szCs w:val="20"/>
      <w:lang w:eastAsia="pt-PT"/>
    </w:rPr>
  </w:style>
  <w:style w:type="paragraph" w:styleId="CommentSubject">
    <w:name w:val="annotation subject"/>
    <w:basedOn w:val="CommentText"/>
    <w:next w:val="CommentText"/>
    <w:link w:val="CommentSubjectChar"/>
    <w:uiPriority w:val="99"/>
    <w:semiHidden/>
    <w:unhideWhenUsed/>
    <w:rsid w:val="005E2AD4"/>
    <w:pPr>
      <w:ind w:left="0" w:firstLine="0"/>
      <w:jc w:val="left"/>
    </w:pPr>
    <w:rPr>
      <w:b/>
      <w:bCs/>
      <w:lang w:val="pt-PT" w:eastAsia="en-US"/>
    </w:rPr>
  </w:style>
  <w:style w:type="character" w:customStyle="1" w:styleId="CommentSubjectChar">
    <w:name w:val="Comment Subject Char"/>
    <w:basedOn w:val="CommentTextChar"/>
    <w:link w:val="CommentSubject"/>
    <w:uiPriority w:val="99"/>
    <w:semiHidden/>
    <w:rsid w:val="005E2AD4"/>
    <w:rPr>
      <w:rFonts w:ascii="Verdana" w:eastAsia="Calibri" w:hAnsi="Verdana" w:cs="Times New Roman"/>
      <w:b/>
      <w:bCs/>
      <w:sz w:val="20"/>
      <w:szCs w:val="20"/>
      <w:lang w:val="pt-PT" w:eastAsia="pt-PT"/>
    </w:rPr>
  </w:style>
  <w:style w:type="paragraph" w:styleId="ListParagraph">
    <w:name w:val="List Paragraph"/>
    <w:basedOn w:val="Normal"/>
    <w:uiPriority w:val="34"/>
    <w:qFormat/>
    <w:rsid w:val="006A3816"/>
    <w:pPr>
      <w:ind w:left="720"/>
      <w:contextualSpacing/>
    </w:pPr>
  </w:style>
  <w:style w:type="paragraph" w:styleId="FootnoteText">
    <w:name w:val="footnote text"/>
    <w:aliases w:val="Footnote Text Char1,Footnote Text Char Char,Fußnotentext Char Char Char,Fußnotentext Char1 Char Char Char,Fußnotentext Char Char Char Char Char,Fußnotentext Char1 Char Char Char Char Char,Verdana 8p Regular Foot,Fußno"/>
    <w:basedOn w:val="Normal"/>
    <w:link w:val="FootnoteTextChar"/>
    <w:uiPriority w:val="99"/>
    <w:qFormat/>
    <w:rsid w:val="00415A64"/>
    <w:pPr>
      <w:spacing w:after="0"/>
    </w:pPr>
    <w:rPr>
      <w:sz w:val="20"/>
      <w:szCs w:val="20"/>
    </w:rPr>
  </w:style>
  <w:style w:type="character" w:customStyle="1" w:styleId="FootnoteTextChar">
    <w:name w:val="Footnote Text Char"/>
    <w:aliases w:val="Footnote Text Char1 Char,Footnote Text Char Char Char,Fußnotentext Char Char Char Char,Fußnotentext Char1 Char Char Char Char,Fußnotentext Char Char Char Char Char Char,Fußnotentext Char1 Char Char Char Char Char Char,Fußno Char"/>
    <w:basedOn w:val="DefaultParagraphFont"/>
    <w:link w:val="FootnoteText"/>
    <w:uiPriority w:val="99"/>
    <w:rsid w:val="00415A64"/>
    <w:rPr>
      <w:rFonts w:ascii="Verdana" w:eastAsia="Calibri" w:hAnsi="Verdana" w:cs="Times New Roman"/>
      <w:sz w:val="20"/>
      <w:szCs w:val="20"/>
      <w:lang w:val="pt-PT"/>
    </w:rPr>
  </w:style>
  <w:style w:type="character" w:styleId="FootnoteReference">
    <w:name w:val="footnote reference"/>
    <w:aliases w:val="Verdana 11p Regular,hochgestellt,Footnote Reference Number,Footnote Reference_LVL6,Footnote Reference_LVL61,Footnote Reference_LVL62,Footnote Reference_LVL63,Footnote Reference_LVL64,Fußnotenzeichen3,16 Point,Superscript 6 Point"/>
    <w:uiPriority w:val="99"/>
    <w:qFormat/>
    <w:rsid w:val="00415A64"/>
    <w:rPr>
      <w:rFonts w:cs="Times New Roman"/>
      <w:vertAlign w:val="superscript"/>
    </w:rPr>
  </w:style>
  <w:style w:type="paragraph" w:customStyle="1" w:styleId="Titrearticle">
    <w:name w:val="Titre article"/>
    <w:basedOn w:val="Normal"/>
    <w:next w:val="Normal"/>
    <w:rsid w:val="00184026"/>
    <w:pPr>
      <w:keepNext/>
      <w:spacing w:before="360"/>
      <w:jc w:val="center"/>
    </w:pPr>
    <w:rPr>
      <w:rFonts w:ascii="Times New Roman" w:hAnsi="Times New Roman"/>
      <w:i/>
      <w:sz w:val="24"/>
      <w:lang w:val="en-GB" w:eastAsia="de-DE"/>
    </w:rPr>
  </w:style>
  <w:style w:type="paragraph" w:customStyle="1" w:styleId="Fait">
    <w:name w:val="Fait à"/>
    <w:basedOn w:val="Normal"/>
    <w:next w:val="Institutionquisigne"/>
    <w:rsid w:val="00184026"/>
    <w:pPr>
      <w:keepNext/>
      <w:spacing w:after="0"/>
      <w:jc w:val="both"/>
    </w:pPr>
    <w:rPr>
      <w:rFonts w:ascii="Times New Roman" w:hAnsi="Times New Roman"/>
      <w:sz w:val="24"/>
      <w:lang w:val="en-GB" w:eastAsia="de-DE"/>
    </w:rPr>
  </w:style>
  <w:style w:type="paragraph" w:customStyle="1" w:styleId="Institutionquisigne">
    <w:name w:val="Institution qui signe"/>
    <w:basedOn w:val="Normal"/>
    <w:next w:val="Normal"/>
    <w:rsid w:val="00184026"/>
    <w:pPr>
      <w:keepNext/>
      <w:tabs>
        <w:tab w:val="left" w:pos="4252"/>
      </w:tabs>
      <w:spacing w:before="720" w:after="0"/>
      <w:jc w:val="both"/>
    </w:pPr>
    <w:rPr>
      <w:rFonts w:ascii="Times New Roman" w:hAnsi="Times New Roman"/>
      <w:i/>
      <w:sz w:val="24"/>
      <w:lang w:val="en-GB" w:eastAsia="de-DE"/>
    </w:rPr>
  </w:style>
  <w:style w:type="paragraph" w:customStyle="1" w:styleId="Default">
    <w:name w:val="Default"/>
    <w:rsid w:val="00184026"/>
    <w:pPr>
      <w:autoSpaceDE w:val="0"/>
      <w:autoSpaceDN w:val="0"/>
      <w:adjustRightInd w:val="0"/>
      <w:spacing w:after="0" w:line="240" w:lineRule="auto"/>
    </w:pPr>
    <w:rPr>
      <w:rFonts w:ascii="EUAlbertina" w:hAnsi="EUAlbertina" w:cs="EUAlbertina"/>
      <w:color w:val="000000"/>
      <w:sz w:val="24"/>
      <w:szCs w:val="24"/>
    </w:rPr>
  </w:style>
  <w:style w:type="paragraph" w:customStyle="1" w:styleId="NumPar1">
    <w:name w:val="NumPar 1"/>
    <w:basedOn w:val="Normal"/>
    <w:next w:val="Normal"/>
    <w:rsid w:val="009811D4"/>
    <w:pPr>
      <w:numPr>
        <w:numId w:val="1"/>
      </w:numPr>
    </w:pPr>
    <w:rPr>
      <w:rFonts w:ascii="Times New Roman" w:eastAsia="Times New Roman" w:hAnsi="Times New Roman"/>
      <w:sz w:val="24"/>
      <w:lang w:val="en-GB" w:eastAsia="en-GB"/>
    </w:rPr>
  </w:style>
  <w:style w:type="character" w:customStyle="1" w:styleId="DeltaViewInsertion">
    <w:name w:val="DeltaView Insertion"/>
    <w:rsid w:val="00452194"/>
    <w:rPr>
      <w:color w:val="0000FF"/>
      <w:u w:val="double"/>
    </w:rPr>
  </w:style>
  <w:style w:type="paragraph" w:styleId="Revision">
    <w:name w:val="Revision"/>
    <w:hidden/>
    <w:uiPriority w:val="99"/>
    <w:semiHidden/>
    <w:rsid w:val="00452194"/>
    <w:pPr>
      <w:spacing w:after="0" w:line="240" w:lineRule="auto"/>
    </w:pPr>
    <w:rPr>
      <w:rFonts w:ascii="Verdana" w:eastAsia="Calibri" w:hAnsi="Verdana" w:cs="Times New Roman"/>
      <w:szCs w:val="24"/>
      <w:lang w:val="pt-PT"/>
    </w:rPr>
  </w:style>
  <w:style w:type="paragraph" w:customStyle="1" w:styleId="Lijstalinea">
    <w:name w:val="Lijstalinea"/>
    <w:basedOn w:val="Normal"/>
    <w:uiPriority w:val="34"/>
    <w:qFormat/>
    <w:rsid w:val="003A0927"/>
    <w:pPr>
      <w:spacing w:before="0" w:after="0" w:line="260" w:lineRule="atLeast"/>
      <w:ind w:left="720"/>
      <w:contextualSpacing/>
    </w:pPr>
    <w:rPr>
      <w:rFonts w:eastAsia="Times New Roman"/>
      <w:kern w:val="10"/>
      <w:sz w:val="20"/>
      <w:szCs w:val="20"/>
      <w:lang w:val="de-DE" w:eastAsia="de-DE"/>
    </w:rPr>
  </w:style>
  <w:style w:type="numbering" w:customStyle="1" w:styleId="Style1">
    <w:name w:val="Style1"/>
    <w:basedOn w:val="NoList"/>
    <w:uiPriority w:val="99"/>
    <w:rsid w:val="001434D5"/>
    <w:pPr>
      <w:numPr>
        <w:numId w:val="2"/>
      </w:numPr>
    </w:pPr>
  </w:style>
  <w:style w:type="table" w:customStyle="1" w:styleId="TableGrid1">
    <w:name w:val="Table Grid1"/>
    <w:basedOn w:val="TableNormal"/>
    <w:next w:val="TableGrid"/>
    <w:uiPriority w:val="99"/>
    <w:rsid w:val="00BE62E0"/>
    <w:pPr>
      <w:spacing w:after="0" w:line="240" w:lineRule="auto"/>
    </w:pPr>
    <w:rPr>
      <w:rFonts w:ascii="Verdana" w:eastAsia="Times New Roman" w:hAnsi="Verdana"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E62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E62E0"/>
    <w:rPr>
      <w:rFonts w:asciiTheme="majorHAnsi" w:eastAsiaTheme="majorEastAsia" w:hAnsiTheme="majorHAnsi" w:cstheme="majorBidi"/>
      <w:b/>
      <w:bCs/>
      <w:color w:val="365F91" w:themeColor="accent1" w:themeShade="BF"/>
      <w:sz w:val="28"/>
      <w:szCs w:val="28"/>
      <w:lang w:val="pt-PT"/>
    </w:rPr>
  </w:style>
  <w:style w:type="paragraph" w:styleId="TOCHeading">
    <w:name w:val="TOC Heading"/>
    <w:basedOn w:val="Heading1"/>
    <w:next w:val="Normal"/>
    <w:uiPriority w:val="39"/>
    <w:unhideWhenUsed/>
    <w:qFormat/>
    <w:rsid w:val="00BE62E0"/>
    <w:pPr>
      <w:spacing w:before="240" w:after="60"/>
      <w:jc w:val="both"/>
      <w:outlineLvl w:val="9"/>
    </w:pPr>
    <w:rPr>
      <w:rFonts w:ascii="Verdana" w:hAnsi="Verdana"/>
      <w:color w:val="auto"/>
      <w:szCs w:val="24"/>
      <w:lang w:val="en-US" w:eastAsia="ja-JP"/>
    </w:rPr>
  </w:style>
  <w:style w:type="paragraph" w:styleId="TOC1">
    <w:name w:val="toc 1"/>
    <w:basedOn w:val="Normal"/>
    <w:next w:val="Normal"/>
    <w:autoRedefine/>
    <w:uiPriority w:val="39"/>
    <w:unhideWhenUsed/>
    <w:rsid w:val="00BE62E0"/>
    <w:pPr>
      <w:tabs>
        <w:tab w:val="right" w:leader="dot" w:pos="9016"/>
      </w:tabs>
      <w:spacing w:before="0" w:after="0"/>
      <w:jc w:val="both"/>
    </w:pPr>
    <w:rPr>
      <w:rFonts w:eastAsiaTheme="minorHAnsi" w:cstheme="minorBidi"/>
      <w:b/>
      <w:noProof/>
      <w:sz w:val="20"/>
      <w:szCs w:val="20"/>
      <w:lang w:val="en-GB"/>
    </w:rPr>
  </w:style>
  <w:style w:type="character" w:customStyle="1" w:styleId="Bold">
    <w:name w:val="Bold"/>
    <w:basedOn w:val="DefaultParagraphFont"/>
    <w:uiPriority w:val="1"/>
    <w:qFormat/>
    <w:rsid w:val="00BE62E0"/>
    <w:rPr>
      <w:b/>
    </w:rPr>
  </w:style>
  <w:style w:type="character" w:customStyle="1" w:styleId="Regular">
    <w:name w:val="Regular"/>
    <w:basedOn w:val="DefaultParagraphFont"/>
    <w:uiPriority w:val="1"/>
    <w:qFormat/>
    <w:rsid w:val="00BE62E0"/>
  </w:style>
  <w:style w:type="paragraph" w:customStyle="1" w:styleId="Bulletpoints1">
    <w:name w:val="Bullet points1"/>
    <w:basedOn w:val="ListBullet"/>
    <w:qFormat/>
    <w:rsid w:val="00BE62E0"/>
  </w:style>
  <w:style w:type="paragraph" w:styleId="ListBullet">
    <w:name w:val="List Bullet"/>
    <w:basedOn w:val="Normal"/>
    <w:uiPriority w:val="99"/>
    <w:semiHidden/>
    <w:unhideWhenUsed/>
    <w:rsid w:val="00BE62E0"/>
    <w:pPr>
      <w:numPr>
        <w:numId w:val="3"/>
      </w:numPr>
      <w:spacing w:after="0"/>
      <w:contextualSpacing/>
      <w:jc w:val="both"/>
    </w:pPr>
    <w:rPr>
      <w:rFonts w:eastAsiaTheme="minorHAnsi" w:cstheme="minorBidi"/>
      <w:szCs w:val="22"/>
      <w:lang w:val="en-GB"/>
    </w:rPr>
  </w:style>
  <w:style w:type="paragraph" w:customStyle="1" w:styleId="Regulationcenter">
    <w:name w:val="Regulation center"/>
    <w:basedOn w:val="Normal"/>
    <w:qFormat/>
    <w:rsid w:val="00F956B4"/>
    <w:pPr>
      <w:keepNext/>
      <w:spacing w:before="360"/>
      <w:jc w:val="center"/>
    </w:pPr>
    <w:rPr>
      <w:rFonts w:ascii="Times New Roman" w:eastAsia="Times New Roman" w:hAnsi="Times New Roman"/>
      <w:color w:val="000000"/>
      <w:sz w:val="24"/>
      <w:lang w:val="en-GB" w:eastAsia="de-DE"/>
    </w:rPr>
  </w:style>
  <w:style w:type="paragraph" w:customStyle="1" w:styleId="BoxText">
    <w:name w:val="Box Text"/>
    <w:basedOn w:val="Normal"/>
    <w:qFormat/>
    <w:rsid w:val="00E2249F"/>
    <w:pPr>
      <w:pBdr>
        <w:top w:val="single" w:sz="4" w:space="10" w:color="D0E7F6"/>
        <w:left w:val="single" w:sz="4" w:space="8" w:color="D0E7F6"/>
        <w:bottom w:val="single" w:sz="4" w:space="10" w:color="D0E7F6"/>
        <w:right w:val="single" w:sz="4" w:space="8" w:color="D0E7F6"/>
      </w:pBdr>
      <w:shd w:val="clear" w:color="auto" w:fill="D0E7F6"/>
      <w:spacing w:after="0"/>
      <w:ind w:left="227" w:right="170"/>
      <w:jc w:val="both"/>
    </w:pPr>
    <w:rPr>
      <w:rFonts w:eastAsia="MS Mincho"/>
      <w:szCs w:val="22"/>
      <w:lang w:val="de-DE" w:eastAsia="de-DE"/>
    </w:rPr>
  </w:style>
  <w:style w:type="character" w:customStyle="1" w:styleId="BoldUnderlined">
    <w:name w:val="Bold Underlined"/>
    <w:basedOn w:val="DefaultParagraphFont"/>
    <w:uiPriority w:val="1"/>
    <w:qFormat/>
    <w:rsid w:val="00E2249F"/>
    <w:rPr>
      <w:b/>
      <w:u w:val="single"/>
    </w:rPr>
  </w:style>
  <w:style w:type="paragraph" w:customStyle="1" w:styleId="Bulletpoints3">
    <w:name w:val="Bullet points3"/>
    <w:basedOn w:val="Normal"/>
    <w:qFormat/>
    <w:rsid w:val="00344798"/>
    <w:pPr>
      <w:numPr>
        <w:numId w:val="4"/>
      </w:numPr>
      <w:spacing w:after="0"/>
      <w:ind w:right="170"/>
      <w:jc w:val="both"/>
    </w:pPr>
    <w:rPr>
      <w:rFonts w:eastAsia="MS Mincho"/>
      <w:szCs w:val="22"/>
      <w:lang w:val="de-DE" w:eastAsia="de-DE"/>
    </w:rPr>
  </w:style>
  <w:style w:type="character" w:customStyle="1" w:styleId="Heading2Char">
    <w:name w:val="Heading 2 Char"/>
    <w:basedOn w:val="DefaultParagraphFont"/>
    <w:link w:val="Heading2"/>
    <w:uiPriority w:val="9"/>
    <w:rsid w:val="00037FF8"/>
    <w:rPr>
      <w:rFonts w:asciiTheme="majorHAnsi" w:eastAsiaTheme="majorEastAsia" w:hAnsiTheme="majorHAnsi" w:cstheme="majorBidi"/>
      <w:b/>
      <w:bCs/>
      <w:color w:val="4F81BD" w:themeColor="accent1"/>
      <w:sz w:val="26"/>
      <w:szCs w:val="26"/>
      <w:lang w:val="pt-PT"/>
    </w:rPr>
  </w:style>
  <w:style w:type="character" w:styleId="Emphasis">
    <w:name w:val="Emphasis"/>
    <w:uiPriority w:val="20"/>
    <w:qFormat/>
    <w:rsid w:val="006B29E2"/>
    <w:rPr>
      <w:i/>
      <w:iCs/>
    </w:rPr>
  </w:style>
  <w:style w:type="character" w:styleId="Strong">
    <w:name w:val="Strong"/>
    <w:uiPriority w:val="22"/>
    <w:qFormat/>
    <w:rsid w:val="006B29E2"/>
    <w:rPr>
      <w:b/>
      <w:bCs/>
    </w:rPr>
  </w:style>
  <w:style w:type="paragraph" w:styleId="TOC2">
    <w:name w:val="toc 2"/>
    <w:basedOn w:val="Normal"/>
    <w:next w:val="Normal"/>
    <w:autoRedefine/>
    <w:uiPriority w:val="39"/>
    <w:unhideWhenUsed/>
    <w:rsid w:val="00AB0FD3"/>
    <w:pPr>
      <w:spacing w:after="100"/>
      <w:ind w:left="220"/>
    </w:pPr>
  </w:style>
  <w:style w:type="character" w:customStyle="1" w:styleId="Heading3Char">
    <w:name w:val="Heading 3 Char"/>
    <w:basedOn w:val="DefaultParagraphFont"/>
    <w:link w:val="Heading3"/>
    <w:uiPriority w:val="9"/>
    <w:rsid w:val="00FF134F"/>
    <w:rPr>
      <w:rFonts w:ascii="Times New Roman" w:eastAsia="Times New Roman" w:hAnsi="Times New Roman" w:cs="Times New Roman"/>
      <w:sz w:val="24"/>
      <w:szCs w:val="24"/>
      <w:u w:val="single"/>
      <w:lang w:eastAsia="en-GB"/>
    </w:rPr>
  </w:style>
  <w:style w:type="character" w:customStyle="1" w:styleId="Heading4Char">
    <w:name w:val="Heading 4 Char"/>
    <w:basedOn w:val="DefaultParagraphFont"/>
    <w:link w:val="Heading4"/>
    <w:uiPriority w:val="9"/>
    <w:rsid w:val="00FF134F"/>
    <w:rPr>
      <w:rFonts w:ascii="Times New Roman" w:eastAsia="Times New Roman" w:hAnsi="Times New Roman" w:cs="Times New Roman"/>
      <w:sz w:val="24"/>
      <w:szCs w:val="24"/>
      <w:u w:val="single"/>
      <w:lang w:eastAsia="en-GB"/>
    </w:rPr>
  </w:style>
  <w:style w:type="character" w:customStyle="1" w:styleId="Heading5Char">
    <w:name w:val="Heading 5 Char"/>
    <w:basedOn w:val="DefaultParagraphFont"/>
    <w:link w:val="Heading5"/>
    <w:rsid w:val="00FF134F"/>
    <w:rPr>
      <w:rFonts w:ascii="Times New Roman" w:eastAsia="Times New Roman" w:hAnsi="Times New Roman" w:cs="Times New Roman"/>
      <w:b/>
      <w:bCs/>
      <w:sz w:val="24"/>
      <w:szCs w:val="24"/>
      <w:lang w:eastAsia="en-GB"/>
    </w:rPr>
  </w:style>
  <w:style w:type="character" w:customStyle="1" w:styleId="Heading6Char">
    <w:name w:val="Heading 6 Char"/>
    <w:basedOn w:val="DefaultParagraphFont"/>
    <w:link w:val="Heading6"/>
    <w:rsid w:val="00FF134F"/>
    <w:rPr>
      <w:rFonts w:ascii="Times New Roman" w:eastAsia="Times New Roman" w:hAnsi="Times New Roman" w:cs="Times New Roman"/>
      <w:b/>
      <w:bCs/>
      <w:sz w:val="24"/>
      <w:szCs w:val="24"/>
      <w:lang w:eastAsia="en-GB"/>
    </w:rPr>
  </w:style>
  <w:style w:type="paragraph" w:customStyle="1" w:styleId="Char1CharCharCharCharChar">
    <w:name w:val="Char1 Char Char Char Char Char"/>
    <w:basedOn w:val="Normal"/>
    <w:rsid w:val="00FF134F"/>
    <w:pPr>
      <w:spacing w:before="0" w:after="160" w:line="240" w:lineRule="exact"/>
    </w:pPr>
    <w:rPr>
      <w:rFonts w:ascii="Arial" w:eastAsia="Times New Roman" w:hAnsi="Arial"/>
      <w:sz w:val="20"/>
      <w:szCs w:val="20"/>
      <w:lang w:val="en-US"/>
    </w:rPr>
  </w:style>
  <w:style w:type="character" w:styleId="PageNumber">
    <w:name w:val="page number"/>
    <w:aliases w:val="Seitenzahl Verdana 9p – Regular"/>
    <w:basedOn w:val="DefaultParagraphFont"/>
    <w:rsid w:val="00FF134F"/>
  </w:style>
  <w:style w:type="paragraph" w:styleId="BodyText">
    <w:name w:val="Body Text"/>
    <w:basedOn w:val="Normal"/>
    <w:link w:val="BodyTextChar"/>
    <w:rsid w:val="00FF134F"/>
    <w:pPr>
      <w:spacing w:before="0" w:after="0"/>
      <w:jc w:val="both"/>
    </w:pPr>
    <w:rPr>
      <w:rFonts w:ascii="Times New Roman" w:eastAsia="Times New Roman" w:hAnsi="Times New Roman"/>
      <w:sz w:val="24"/>
      <w:lang w:val="en-GB" w:eastAsia="en-GB"/>
    </w:rPr>
  </w:style>
  <w:style w:type="character" w:customStyle="1" w:styleId="BodyTextChar">
    <w:name w:val="Body Text Char"/>
    <w:basedOn w:val="DefaultParagraphFont"/>
    <w:link w:val="BodyText"/>
    <w:rsid w:val="00FF134F"/>
    <w:rPr>
      <w:rFonts w:ascii="Times New Roman" w:eastAsia="Times New Roman" w:hAnsi="Times New Roman" w:cs="Times New Roman"/>
      <w:sz w:val="24"/>
      <w:szCs w:val="24"/>
      <w:lang w:eastAsia="en-GB"/>
    </w:rPr>
  </w:style>
  <w:style w:type="paragraph" w:styleId="BodyTextIndent">
    <w:name w:val="Body Text Indent"/>
    <w:basedOn w:val="Normal"/>
    <w:link w:val="BodyTextIndentChar"/>
    <w:rsid w:val="00FF134F"/>
    <w:pPr>
      <w:spacing w:before="0" w:after="0"/>
      <w:ind w:left="180"/>
      <w:jc w:val="both"/>
    </w:pPr>
    <w:rPr>
      <w:rFonts w:ascii="Times New Roman" w:eastAsia="Times New Roman" w:hAnsi="Times New Roman"/>
      <w:sz w:val="24"/>
      <w:szCs w:val="22"/>
      <w:lang w:val="en-GB" w:eastAsia="en-GB"/>
    </w:rPr>
  </w:style>
  <w:style w:type="character" w:customStyle="1" w:styleId="BodyTextIndentChar">
    <w:name w:val="Body Text Indent Char"/>
    <w:basedOn w:val="DefaultParagraphFont"/>
    <w:link w:val="BodyTextIndent"/>
    <w:rsid w:val="00FF134F"/>
    <w:rPr>
      <w:rFonts w:ascii="Times New Roman" w:eastAsia="Times New Roman" w:hAnsi="Times New Roman" w:cs="Times New Roman"/>
      <w:sz w:val="24"/>
      <w:lang w:eastAsia="en-GB"/>
    </w:rPr>
  </w:style>
  <w:style w:type="paragraph" w:customStyle="1" w:styleId="Paragraphedeliste1">
    <w:name w:val="Paragraphe de liste1"/>
    <w:basedOn w:val="Normal"/>
    <w:qFormat/>
    <w:rsid w:val="00FF134F"/>
    <w:pPr>
      <w:spacing w:before="0" w:after="0"/>
      <w:ind w:left="708"/>
    </w:pPr>
    <w:rPr>
      <w:rFonts w:ascii="Times New Roman" w:eastAsia="Times New Roman" w:hAnsi="Times New Roman"/>
      <w:sz w:val="24"/>
      <w:lang w:val="en-GB" w:eastAsia="en-GB"/>
    </w:rPr>
  </w:style>
  <w:style w:type="paragraph" w:customStyle="1" w:styleId="Rvision1">
    <w:name w:val="Révision1"/>
    <w:hidden/>
    <w:uiPriority w:val="99"/>
    <w:semiHidden/>
    <w:rsid w:val="00FF134F"/>
    <w:pPr>
      <w:spacing w:after="0" w:line="240" w:lineRule="auto"/>
    </w:pPr>
    <w:rPr>
      <w:rFonts w:ascii="Times New Roman" w:eastAsia="Times New Roman" w:hAnsi="Times New Roman" w:cs="Times New Roman"/>
      <w:sz w:val="24"/>
      <w:szCs w:val="24"/>
      <w:lang w:eastAsia="en-GB"/>
    </w:rPr>
  </w:style>
  <w:style w:type="paragraph" w:styleId="TOC3">
    <w:name w:val="toc 3"/>
    <w:basedOn w:val="Normal"/>
    <w:next w:val="Normal"/>
    <w:autoRedefine/>
    <w:uiPriority w:val="39"/>
    <w:rsid w:val="00FF134F"/>
    <w:pPr>
      <w:tabs>
        <w:tab w:val="right" w:leader="dot" w:pos="9072"/>
      </w:tabs>
      <w:spacing w:before="0" w:after="0"/>
      <w:ind w:left="482"/>
    </w:pPr>
    <w:rPr>
      <w:rFonts w:ascii="Arial" w:eastAsia="Times New Roman" w:hAnsi="Arial" w:cs="Arial"/>
      <w:bCs/>
      <w:noProof/>
      <w:lang w:val="en-GB" w:eastAsia="en-GB"/>
    </w:rPr>
  </w:style>
  <w:style w:type="character" w:customStyle="1" w:styleId="CharChar1">
    <w:name w:val="Char Char1"/>
    <w:semiHidden/>
    <w:rsid w:val="00FF134F"/>
    <w:rPr>
      <w:lang w:val="en-GB" w:eastAsia="en-GB" w:bidi="ar-SA"/>
    </w:rPr>
  </w:style>
  <w:style w:type="paragraph" w:customStyle="1" w:styleId="QISIndentCharCharChar">
    <w:name w:val="QISIndent Char Char Char"/>
    <w:basedOn w:val="Normal"/>
    <w:rsid w:val="00FF134F"/>
    <w:pPr>
      <w:spacing w:before="0" w:after="240"/>
      <w:ind w:left="1134"/>
      <w:jc w:val="both"/>
    </w:pPr>
    <w:rPr>
      <w:rFonts w:eastAsia="MS Mincho"/>
      <w:szCs w:val="20"/>
      <w:lang w:val="en-GB" w:eastAsia="ja-JP"/>
    </w:rPr>
  </w:style>
  <w:style w:type="paragraph" w:customStyle="1" w:styleId="StyleHeading2Arial14ptBefore12ptAfter3pt">
    <w:name w:val="Style Heading 2 + Arial 14 pt Before:  12 pt After:  3 pt"/>
    <w:basedOn w:val="Heading2"/>
    <w:rsid w:val="00FF134F"/>
    <w:pPr>
      <w:keepLines w:val="0"/>
      <w:spacing w:before="240" w:after="60"/>
    </w:pPr>
    <w:rPr>
      <w:rFonts w:ascii="Arial" w:eastAsia="Times New Roman" w:hAnsi="Arial" w:cs="Times New Roman"/>
      <w:color w:val="auto"/>
      <w:sz w:val="28"/>
      <w:szCs w:val="20"/>
      <w:lang w:val="en-GB" w:eastAsia="en-GB"/>
    </w:rPr>
  </w:style>
  <w:style w:type="paragraph" w:customStyle="1" w:styleId="ListParagraph2">
    <w:name w:val="List Paragraph2"/>
    <w:basedOn w:val="Normal"/>
    <w:uiPriority w:val="34"/>
    <w:qFormat/>
    <w:rsid w:val="00FF134F"/>
    <w:pPr>
      <w:spacing w:before="0" w:after="200" w:line="276" w:lineRule="auto"/>
      <w:ind w:left="720"/>
      <w:contextualSpacing/>
    </w:pPr>
    <w:rPr>
      <w:rFonts w:ascii="Calibri" w:eastAsia="Times New Roman" w:hAnsi="Calibri"/>
      <w:szCs w:val="22"/>
    </w:rPr>
  </w:style>
  <w:style w:type="paragraph" w:styleId="NormalWeb">
    <w:name w:val="Normal (Web)"/>
    <w:basedOn w:val="Normal"/>
    <w:rsid w:val="00FF134F"/>
    <w:pPr>
      <w:spacing w:before="0" w:after="0"/>
    </w:pPr>
    <w:rPr>
      <w:rFonts w:ascii="Times New Roman" w:eastAsia="Times New Roman" w:hAnsi="Times New Roman"/>
      <w:sz w:val="24"/>
      <w:lang w:val="en-GB" w:eastAsia="en-GB"/>
    </w:rPr>
  </w:style>
  <w:style w:type="paragraph" w:styleId="NoSpacing">
    <w:name w:val="No Spacing"/>
    <w:uiPriority w:val="1"/>
    <w:qFormat/>
    <w:rsid w:val="00FF134F"/>
    <w:pPr>
      <w:spacing w:after="0" w:line="240" w:lineRule="auto"/>
    </w:pPr>
    <w:rPr>
      <w:lang w:val="pl-PL"/>
    </w:rPr>
  </w:style>
  <w:style w:type="table" w:customStyle="1" w:styleId="Tabela-Siatka1">
    <w:name w:val="Tabela - Siatka1"/>
    <w:basedOn w:val="TableNormal"/>
    <w:next w:val="TableGrid"/>
    <w:uiPriority w:val="59"/>
    <w:rsid w:val="00FF13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iPriority w:val="99"/>
    <w:rsid w:val="00FF134F"/>
    <w:pPr>
      <w:spacing w:before="0" w:line="480" w:lineRule="auto"/>
      <w:ind w:left="283"/>
    </w:pPr>
    <w:rPr>
      <w:rFonts w:ascii="Times New Roman" w:eastAsia="Times New Roman" w:hAnsi="Times New Roman"/>
      <w:sz w:val="24"/>
      <w:lang w:val="en-GB" w:eastAsia="en-GB"/>
    </w:rPr>
  </w:style>
  <w:style w:type="character" w:customStyle="1" w:styleId="BodyTextIndent2Char">
    <w:name w:val="Body Text Indent 2 Char"/>
    <w:basedOn w:val="DefaultParagraphFont"/>
    <w:link w:val="BodyTextIndent2"/>
    <w:uiPriority w:val="99"/>
    <w:rsid w:val="00FF134F"/>
    <w:rPr>
      <w:rFonts w:ascii="Times New Roman" w:eastAsia="Times New Roman" w:hAnsi="Times New Roman" w:cs="Times New Roman"/>
      <w:sz w:val="24"/>
      <w:szCs w:val="24"/>
      <w:lang w:eastAsia="en-GB"/>
    </w:rPr>
  </w:style>
  <w:style w:type="numbering" w:customStyle="1" w:styleId="NoList1">
    <w:name w:val="No List1"/>
    <w:next w:val="NoList"/>
    <w:uiPriority w:val="99"/>
    <w:semiHidden/>
    <w:unhideWhenUsed/>
    <w:rsid w:val="000902FB"/>
  </w:style>
  <w:style w:type="table" w:customStyle="1" w:styleId="TableGrid2">
    <w:name w:val="Table Grid2"/>
    <w:basedOn w:val="TableNormal"/>
    <w:next w:val="TableGrid"/>
    <w:uiPriority w:val="99"/>
    <w:rsid w:val="000902FB"/>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401">
    <w:name w:val="EmailStyle401"/>
    <w:semiHidden/>
    <w:rsid w:val="000902FB"/>
    <w:rPr>
      <w:rFonts w:ascii="Arial" w:hAnsi="Arial" w:cs="Arial"/>
      <w:color w:val="auto"/>
      <w:sz w:val="20"/>
      <w:szCs w:val="20"/>
    </w:rPr>
  </w:style>
  <w:style w:type="paragraph" w:customStyle="1" w:styleId="PargrafodaLista1">
    <w:name w:val="Parágrafo da Lista1"/>
    <w:basedOn w:val="Normal"/>
    <w:uiPriority w:val="34"/>
    <w:qFormat/>
    <w:rsid w:val="000902FB"/>
    <w:pPr>
      <w:spacing w:before="0" w:after="0"/>
      <w:ind w:left="720"/>
    </w:pPr>
    <w:rPr>
      <w:rFonts w:ascii="Times New Roman" w:eastAsia="Times New Roman" w:hAnsi="Times New Roman"/>
      <w:sz w:val="24"/>
      <w:lang w:val="en-GB" w:eastAsia="en-GB"/>
    </w:rPr>
  </w:style>
  <w:style w:type="paragraph" w:customStyle="1" w:styleId="04fBodytextblue">
    <w:name w:val="04f_Body text blue"/>
    <w:basedOn w:val="Normal"/>
    <w:rsid w:val="000902FB"/>
    <w:pPr>
      <w:pBdr>
        <w:bottom w:val="single" w:sz="4" w:space="12" w:color="283583"/>
      </w:pBdr>
      <w:spacing w:before="0" w:after="250" w:line="276" w:lineRule="auto"/>
      <w:jc w:val="both"/>
    </w:pPr>
    <w:rPr>
      <w:rFonts w:ascii="Georgia" w:hAnsi="Georgia"/>
      <w:color w:val="2D4190"/>
      <w:sz w:val="20"/>
      <w:lang w:val="en-GB" w:eastAsia="de-DE"/>
    </w:rPr>
  </w:style>
  <w:style w:type="paragraph" w:customStyle="1" w:styleId="Datedadoption">
    <w:name w:val="Date d'adoption"/>
    <w:basedOn w:val="Normal"/>
    <w:next w:val="Normal"/>
    <w:rsid w:val="000902FB"/>
    <w:pPr>
      <w:spacing w:before="360" w:after="0"/>
      <w:jc w:val="center"/>
    </w:pPr>
    <w:rPr>
      <w:rFonts w:ascii="Times New Roman" w:hAnsi="Times New Roman"/>
      <w:b/>
      <w:sz w:val="24"/>
      <w:lang w:val="en-GB" w:eastAsia="de-DE"/>
    </w:rPr>
  </w:style>
  <w:style w:type="paragraph" w:customStyle="1" w:styleId="Institutionquiagit">
    <w:name w:val="Institution qui agit"/>
    <w:basedOn w:val="Normal"/>
    <w:next w:val="Normal"/>
    <w:rsid w:val="000902FB"/>
    <w:pPr>
      <w:keepNext/>
      <w:spacing w:before="600"/>
      <w:jc w:val="both"/>
    </w:pPr>
    <w:rPr>
      <w:rFonts w:ascii="Times New Roman" w:hAnsi="Times New Roman"/>
      <w:sz w:val="24"/>
      <w:lang w:val="en-GB" w:eastAsia="de-DE"/>
    </w:rPr>
  </w:style>
  <w:style w:type="paragraph" w:customStyle="1" w:styleId="Typedudocument">
    <w:name w:val="Type du document"/>
    <w:basedOn w:val="Normal"/>
    <w:next w:val="Datedadoption"/>
    <w:rsid w:val="000902FB"/>
    <w:pPr>
      <w:spacing w:before="360" w:after="0"/>
      <w:jc w:val="center"/>
    </w:pPr>
    <w:rPr>
      <w:rFonts w:ascii="Times New Roman" w:hAnsi="Times New Roman"/>
      <w:b/>
      <w:sz w:val="24"/>
      <w:lang w:val="en-GB" w:eastAsia="de-DE"/>
    </w:rPr>
  </w:style>
  <w:style w:type="paragraph" w:customStyle="1" w:styleId="Formuledadoption">
    <w:name w:val="Formule d'adoption"/>
    <w:basedOn w:val="Normal"/>
    <w:next w:val="Normal"/>
    <w:rsid w:val="000902FB"/>
    <w:pPr>
      <w:keepNext/>
      <w:jc w:val="both"/>
    </w:pPr>
    <w:rPr>
      <w:rFonts w:ascii="Times New Roman" w:hAnsi="Times New Roman"/>
      <w:sz w:val="24"/>
      <w:lang w:val="en-GB" w:eastAsia="de-DE"/>
    </w:rPr>
  </w:style>
  <w:style w:type="paragraph" w:customStyle="1" w:styleId="Applicationdirecte">
    <w:name w:val="Application directe"/>
    <w:basedOn w:val="Normal"/>
    <w:next w:val="Fait"/>
    <w:rsid w:val="000902FB"/>
    <w:pPr>
      <w:spacing w:before="480"/>
      <w:jc w:val="both"/>
    </w:pPr>
    <w:rPr>
      <w:rFonts w:ascii="Times New Roman" w:hAnsi="Times New Roman"/>
      <w:sz w:val="24"/>
      <w:lang w:val="en-GB" w:eastAsia="de-DE"/>
    </w:rPr>
  </w:style>
  <w:style w:type="paragraph" w:customStyle="1" w:styleId="Personnequisigne">
    <w:name w:val="Personne qui signe"/>
    <w:basedOn w:val="Normal"/>
    <w:next w:val="Institutionquisigne"/>
    <w:rsid w:val="000902FB"/>
    <w:pPr>
      <w:tabs>
        <w:tab w:val="left" w:pos="4252"/>
      </w:tabs>
      <w:spacing w:before="0" w:after="0"/>
    </w:pPr>
    <w:rPr>
      <w:rFonts w:ascii="Times New Roman" w:hAnsi="Times New Roman"/>
      <w:i/>
      <w:sz w:val="24"/>
      <w:lang w:val="en-GB" w:eastAsia="de-DE"/>
    </w:rPr>
  </w:style>
  <w:style w:type="character" w:styleId="FollowedHyperlink">
    <w:name w:val="FollowedHyperlink"/>
    <w:rsid w:val="000902FB"/>
    <w:rPr>
      <w:color w:val="800080"/>
      <w:u w:val="single"/>
    </w:rPr>
  </w:style>
  <w:style w:type="paragraph" w:customStyle="1" w:styleId="Annexetitre">
    <w:name w:val="Annexe titre"/>
    <w:basedOn w:val="Normal"/>
    <w:next w:val="Normal"/>
    <w:rsid w:val="000902FB"/>
    <w:pPr>
      <w:jc w:val="center"/>
    </w:pPr>
    <w:rPr>
      <w:rFonts w:ascii="Times New Roman" w:hAnsi="Times New Roman"/>
      <w:b/>
      <w:sz w:val="24"/>
      <w:u w:val="single"/>
      <w:lang w:val="en-GB"/>
    </w:rPr>
  </w:style>
  <w:style w:type="paragraph" w:customStyle="1" w:styleId="AlineasCEIOPS">
    <w:name w:val="Alinea's CEIOPS"/>
    <w:basedOn w:val="Normal"/>
    <w:link w:val="AlineasCEIOPSChar"/>
    <w:rsid w:val="000902FB"/>
    <w:pPr>
      <w:numPr>
        <w:numId w:val="5"/>
      </w:numPr>
      <w:spacing w:before="0" w:after="0"/>
      <w:ind w:left="567" w:hanging="567"/>
      <w:jc w:val="both"/>
    </w:pPr>
    <w:rPr>
      <w:rFonts w:eastAsia="Times New Roman"/>
      <w:lang w:val="en-GB" w:eastAsia="en-GB"/>
    </w:rPr>
  </w:style>
  <w:style w:type="character" w:customStyle="1" w:styleId="AlineasCEIOPSChar">
    <w:name w:val="Alinea's CEIOPS Char"/>
    <w:link w:val="AlineasCEIOPS"/>
    <w:rsid w:val="000902FB"/>
    <w:rPr>
      <w:rFonts w:ascii="Verdana" w:eastAsia="Times New Roman" w:hAnsi="Verdana" w:cs="Times New Roman"/>
      <w:szCs w:val="24"/>
      <w:lang w:eastAsia="en-GB"/>
    </w:rPr>
  </w:style>
  <w:style w:type="paragraph" w:customStyle="1" w:styleId="Reviso1">
    <w:name w:val="Revisão1"/>
    <w:hidden/>
    <w:uiPriority w:val="99"/>
    <w:semiHidden/>
    <w:rsid w:val="000902FB"/>
    <w:pPr>
      <w:spacing w:after="0" w:line="240" w:lineRule="auto"/>
    </w:pPr>
    <w:rPr>
      <w:rFonts w:ascii="Times New Roman" w:eastAsia="Times New Roman" w:hAnsi="Times New Roman" w:cs="Times New Roman"/>
      <w:sz w:val="24"/>
      <w:szCs w:val="24"/>
      <w:lang w:eastAsia="en-GB"/>
    </w:rPr>
  </w:style>
  <w:style w:type="paragraph" w:customStyle="1" w:styleId="Point2">
    <w:name w:val="Point 2"/>
    <w:basedOn w:val="Normal"/>
    <w:rsid w:val="000902FB"/>
    <w:pPr>
      <w:ind w:left="1984" w:hanging="567"/>
      <w:jc w:val="both"/>
    </w:pPr>
    <w:rPr>
      <w:rFonts w:ascii="Times New Roman" w:eastAsia="Times New Roman" w:hAnsi="Times New Roman"/>
      <w:sz w:val="24"/>
      <w:lang w:val="en-GB" w:eastAsia="de-DE"/>
    </w:rPr>
  </w:style>
  <w:style w:type="paragraph" w:customStyle="1" w:styleId="Point3">
    <w:name w:val="Point 3"/>
    <w:basedOn w:val="Normal"/>
    <w:rsid w:val="000902FB"/>
    <w:pPr>
      <w:ind w:left="2551" w:hanging="567"/>
      <w:jc w:val="both"/>
    </w:pPr>
    <w:rPr>
      <w:rFonts w:ascii="Times New Roman" w:eastAsia="Times New Roman" w:hAnsi="Times New Roman"/>
      <w:sz w:val="24"/>
      <w:lang w:val="en-GB" w:eastAsia="de-DE"/>
    </w:rPr>
  </w:style>
  <w:style w:type="paragraph" w:customStyle="1" w:styleId="ContinuousSquareBullet">
    <w:name w:val="Continuous Square Bullet"/>
    <w:basedOn w:val="Normal"/>
    <w:uiPriority w:val="99"/>
    <w:rsid w:val="000902FB"/>
    <w:pPr>
      <w:numPr>
        <w:numId w:val="6"/>
      </w:numPr>
      <w:spacing w:before="0" w:after="280" w:line="280" w:lineRule="exact"/>
    </w:pPr>
    <w:rPr>
      <w:rFonts w:ascii="Arial" w:eastAsia="Times New Roman" w:hAnsi="Arial" w:cs="Arial"/>
      <w:sz w:val="23"/>
      <w:szCs w:val="23"/>
      <w:lang w:val="en-GB"/>
    </w:rPr>
  </w:style>
  <w:style w:type="paragraph" w:customStyle="1" w:styleId="EP-ReferenznummerVerdana10pRegular">
    <w:name w:val="EP-Referenznummer Verdana 10p Regular"/>
    <w:basedOn w:val="Normal"/>
    <w:qFormat/>
    <w:rsid w:val="000902FB"/>
    <w:pPr>
      <w:spacing w:before="0" w:after="2840"/>
      <w:jc w:val="right"/>
    </w:pPr>
    <w:rPr>
      <w:rFonts w:eastAsia="MS Mincho"/>
      <w:sz w:val="20"/>
      <w:szCs w:val="22"/>
      <w:lang w:val="de-DE" w:eastAsia="de-DE"/>
    </w:rPr>
  </w:style>
  <w:style w:type="paragraph" w:customStyle="1" w:styleId="Adviceonect24p">
    <w:name w:val="Advice on... ect. 24p"/>
    <w:basedOn w:val="Normal"/>
    <w:next w:val="Normal"/>
    <w:qFormat/>
    <w:rsid w:val="000902FB"/>
    <w:pPr>
      <w:pBdr>
        <w:top w:val="single" w:sz="4" w:space="25" w:color="D0E7F6"/>
        <w:left w:val="single" w:sz="4" w:space="8" w:color="D0E7F6"/>
        <w:bottom w:val="single" w:sz="4" w:space="30" w:color="D0E7F6"/>
        <w:right w:val="single" w:sz="4" w:space="8" w:color="D0E7F6"/>
      </w:pBdr>
      <w:shd w:val="clear" w:color="auto" w:fill="D0E7F6"/>
      <w:spacing w:before="0" w:after="0"/>
      <w:ind w:left="170" w:right="170"/>
      <w:jc w:val="center"/>
    </w:pPr>
    <w:rPr>
      <w:rFonts w:eastAsia="MS Mincho"/>
      <w:b/>
      <w:bCs/>
      <w:sz w:val="48"/>
      <w:szCs w:val="48"/>
      <w:lang w:val="de-DE" w:eastAsia="de-DE"/>
    </w:rPr>
  </w:style>
  <w:style w:type="paragraph" w:customStyle="1" w:styleId="Subjectxxx24p">
    <w:name w:val="Subject xxx 24p"/>
    <w:basedOn w:val="Normal"/>
    <w:next w:val="Normal"/>
    <w:qFormat/>
    <w:rsid w:val="000902FB"/>
    <w:pPr>
      <w:pBdr>
        <w:top w:val="single" w:sz="4" w:space="8" w:color="D0E7F6"/>
        <w:left w:val="single" w:sz="4" w:space="8" w:color="D0E7F6"/>
        <w:bottom w:val="single" w:sz="4" w:space="8" w:color="D0E7F6"/>
        <w:right w:val="single" w:sz="4" w:space="8" w:color="D0E7F6"/>
      </w:pBdr>
      <w:shd w:val="clear" w:color="auto" w:fill="D0E7F6"/>
      <w:spacing w:before="0" w:after="0"/>
      <w:ind w:left="170" w:right="170"/>
      <w:jc w:val="center"/>
    </w:pPr>
    <w:rPr>
      <w:rFonts w:eastAsia="MS Mincho"/>
      <w:b/>
      <w:bCs/>
      <w:sz w:val="48"/>
      <w:szCs w:val="48"/>
      <w:lang w:val="de-DE" w:eastAsia="de-DE"/>
    </w:rPr>
  </w:style>
  <w:style w:type="paragraph" w:customStyle="1" w:styleId="Pagedecouverture">
    <w:name w:val="Page de couverture"/>
    <w:basedOn w:val="Normal"/>
    <w:next w:val="Normal"/>
    <w:rsid w:val="000902FB"/>
    <w:pPr>
      <w:jc w:val="both"/>
    </w:pPr>
    <w:rPr>
      <w:rFonts w:ascii="Times New Roman" w:eastAsia="Times New Roman" w:hAnsi="Times New Roman"/>
      <w:sz w:val="24"/>
      <w:lang w:val="en-GB"/>
    </w:rPr>
  </w:style>
  <w:style w:type="paragraph" w:customStyle="1" w:styleId="PlainText1">
    <w:name w:val="Plain Text1"/>
    <w:basedOn w:val="Normal"/>
    <w:next w:val="PlainText"/>
    <w:link w:val="PlainTextChar"/>
    <w:uiPriority w:val="99"/>
    <w:semiHidden/>
    <w:unhideWhenUsed/>
    <w:rsid w:val="000902FB"/>
    <w:pPr>
      <w:spacing w:before="0" w:after="0"/>
    </w:pPr>
    <w:rPr>
      <w:rFonts w:ascii="Calibri" w:hAnsi="Calibri" w:cs="Calibri"/>
      <w:szCs w:val="22"/>
      <w:lang w:val="en-GB" w:eastAsia="en-GB"/>
    </w:rPr>
  </w:style>
  <w:style w:type="character" w:customStyle="1" w:styleId="PlainTextChar">
    <w:name w:val="Plain Text Char"/>
    <w:basedOn w:val="DefaultParagraphFont"/>
    <w:link w:val="PlainText1"/>
    <w:uiPriority w:val="99"/>
    <w:semiHidden/>
    <w:rsid w:val="000902FB"/>
    <w:rPr>
      <w:rFonts w:ascii="Calibri" w:eastAsia="Calibri" w:hAnsi="Calibri" w:cs="Calibri"/>
      <w:sz w:val="22"/>
      <w:szCs w:val="22"/>
      <w:lang w:val="en-GB" w:eastAsia="en-GB"/>
    </w:rPr>
  </w:style>
  <w:style w:type="paragraph" w:customStyle="1" w:styleId="Considrant">
    <w:name w:val="Considérant"/>
    <w:basedOn w:val="Normal"/>
    <w:rsid w:val="000902FB"/>
    <w:pPr>
      <w:numPr>
        <w:numId w:val="7"/>
      </w:numPr>
      <w:jc w:val="both"/>
    </w:pPr>
    <w:rPr>
      <w:rFonts w:ascii="Times New Roman" w:eastAsia="Times New Roman" w:hAnsi="Times New Roman"/>
      <w:sz w:val="24"/>
      <w:lang w:val="en-GB"/>
    </w:rPr>
  </w:style>
  <w:style w:type="numbering" w:customStyle="1" w:styleId="Style11">
    <w:name w:val="Style11"/>
    <w:basedOn w:val="NoList"/>
    <w:uiPriority w:val="99"/>
    <w:rsid w:val="000902FB"/>
  </w:style>
  <w:style w:type="paragraph" w:customStyle="1" w:styleId="ListParagraph1">
    <w:name w:val="List Paragraph1"/>
    <w:basedOn w:val="Normal"/>
    <w:qFormat/>
    <w:rsid w:val="000902FB"/>
    <w:pPr>
      <w:spacing w:before="0" w:after="0"/>
      <w:ind w:left="720"/>
    </w:pPr>
    <w:rPr>
      <w:rFonts w:ascii="Times New Roman" w:hAnsi="Times New Roman"/>
      <w:sz w:val="24"/>
      <w:lang w:val="en-GB" w:eastAsia="en-GB"/>
    </w:rPr>
  </w:style>
  <w:style w:type="paragraph" w:customStyle="1" w:styleId="Listeafsnit1">
    <w:name w:val="Listeafsnit1"/>
    <w:basedOn w:val="Normal"/>
    <w:rsid w:val="000902FB"/>
    <w:pPr>
      <w:spacing w:before="0" w:after="0"/>
      <w:ind w:left="720"/>
      <w:jc w:val="both"/>
    </w:pPr>
    <w:rPr>
      <w:rFonts w:ascii="Times New Roman" w:hAnsi="Times New Roman"/>
      <w:szCs w:val="20"/>
      <w:lang w:val="fr-FR" w:eastAsia="fr-FR"/>
    </w:rPr>
  </w:style>
  <w:style w:type="character" w:customStyle="1" w:styleId="FootnoteCharacters">
    <w:name w:val="Footnote Characters"/>
    <w:rsid w:val="000902FB"/>
    <w:rPr>
      <w:vertAlign w:val="superscript"/>
    </w:rPr>
  </w:style>
  <w:style w:type="paragraph" w:customStyle="1" w:styleId="ManualConsidrant">
    <w:name w:val="Manual Considérant"/>
    <w:basedOn w:val="Normal"/>
    <w:rsid w:val="000902FB"/>
    <w:pPr>
      <w:ind w:left="709" w:hanging="709"/>
      <w:jc w:val="both"/>
    </w:pPr>
    <w:rPr>
      <w:rFonts w:ascii="Times New Roman" w:eastAsia="Times New Roman" w:hAnsi="Times New Roman"/>
      <w:sz w:val="24"/>
      <w:lang w:val="en-GB" w:eastAsia="de-DE"/>
    </w:rPr>
  </w:style>
  <w:style w:type="paragraph" w:styleId="DocumentMap">
    <w:name w:val="Document Map"/>
    <w:basedOn w:val="Normal"/>
    <w:link w:val="DocumentMapChar"/>
    <w:rsid w:val="000902FB"/>
    <w:pPr>
      <w:spacing w:before="0" w:after="0"/>
    </w:pPr>
    <w:rPr>
      <w:rFonts w:ascii="Tahoma" w:hAnsi="Tahoma" w:cs="Tahoma"/>
      <w:sz w:val="16"/>
      <w:szCs w:val="16"/>
      <w:lang w:val="en-GB" w:eastAsia="en-GB"/>
    </w:rPr>
  </w:style>
  <w:style w:type="character" w:customStyle="1" w:styleId="DocumentMapChar">
    <w:name w:val="Document Map Char"/>
    <w:basedOn w:val="DefaultParagraphFont"/>
    <w:link w:val="DocumentMap"/>
    <w:rsid w:val="000902FB"/>
    <w:rPr>
      <w:rFonts w:ascii="Tahoma" w:eastAsia="Calibri" w:hAnsi="Tahoma" w:cs="Tahoma"/>
      <w:sz w:val="16"/>
      <w:szCs w:val="16"/>
      <w:lang w:eastAsia="en-GB"/>
    </w:rPr>
  </w:style>
  <w:style w:type="paragraph" w:styleId="PlainText">
    <w:name w:val="Plain Text"/>
    <w:basedOn w:val="Normal"/>
    <w:link w:val="PlainTextChar1"/>
    <w:uiPriority w:val="99"/>
    <w:semiHidden/>
    <w:unhideWhenUsed/>
    <w:rsid w:val="000902FB"/>
    <w:pPr>
      <w:spacing w:before="0" w:after="0"/>
    </w:pPr>
    <w:rPr>
      <w:rFonts w:ascii="Consolas" w:hAnsi="Consolas"/>
      <w:sz w:val="21"/>
      <w:szCs w:val="21"/>
    </w:rPr>
  </w:style>
  <w:style w:type="character" w:customStyle="1" w:styleId="PlainTextChar1">
    <w:name w:val="Plain Text Char1"/>
    <w:basedOn w:val="DefaultParagraphFont"/>
    <w:link w:val="PlainText"/>
    <w:uiPriority w:val="99"/>
    <w:semiHidden/>
    <w:rsid w:val="000902FB"/>
    <w:rPr>
      <w:rFonts w:ascii="Consolas" w:eastAsia="Calibri" w:hAnsi="Consolas" w:cs="Times New Roman"/>
      <w:sz w:val="21"/>
      <w:szCs w:val="21"/>
      <w:lang w:val="pt-PT"/>
    </w:rPr>
  </w:style>
  <w:style w:type="numbering" w:customStyle="1" w:styleId="NoList2">
    <w:name w:val="No List2"/>
    <w:next w:val="NoList"/>
    <w:uiPriority w:val="99"/>
    <w:semiHidden/>
    <w:unhideWhenUsed/>
    <w:rsid w:val="000902FB"/>
  </w:style>
  <w:style w:type="table" w:customStyle="1" w:styleId="TableGrid3">
    <w:name w:val="Table Grid3"/>
    <w:basedOn w:val="TableNormal"/>
    <w:next w:val="TableGrid"/>
    <w:rsid w:val="000902FB"/>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2">
    <w:name w:val="Style12"/>
    <w:basedOn w:val="NoList"/>
    <w:uiPriority w:val="99"/>
    <w:rsid w:val="000902FB"/>
    <w:pPr>
      <w:numPr>
        <w:numId w:val="11"/>
      </w:numPr>
    </w:pPr>
  </w:style>
  <w:style w:type="numbering" w:customStyle="1" w:styleId="NoList3">
    <w:name w:val="No List3"/>
    <w:next w:val="NoList"/>
    <w:uiPriority w:val="99"/>
    <w:semiHidden/>
    <w:unhideWhenUsed/>
    <w:rsid w:val="00A86315"/>
  </w:style>
  <w:style w:type="table" w:customStyle="1" w:styleId="TableGrid4">
    <w:name w:val="Table Grid4"/>
    <w:basedOn w:val="TableNormal"/>
    <w:next w:val="TableGrid"/>
    <w:rsid w:val="00A86315"/>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3">
    <w:name w:val="Style13"/>
    <w:basedOn w:val="NoList"/>
    <w:uiPriority w:val="99"/>
    <w:rsid w:val="00A86315"/>
  </w:style>
  <w:style w:type="numbering" w:customStyle="1" w:styleId="NoList4">
    <w:name w:val="No List4"/>
    <w:next w:val="NoList"/>
    <w:uiPriority w:val="99"/>
    <w:semiHidden/>
    <w:unhideWhenUsed/>
    <w:rsid w:val="001A4529"/>
  </w:style>
  <w:style w:type="table" w:customStyle="1" w:styleId="TableGrid5">
    <w:name w:val="Table Grid5"/>
    <w:basedOn w:val="TableNormal"/>
    <w:next w:val="TableGrid"/>
    <w:rsid w:val="001A4529"/>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4">
    <w:name w:val="Style14"/>
    <w:basedOn w:val="NoList"/>
    <w:uiPriority w:val="99"/>
    <w:rsid w:val="001A4529"/>
  </w:style>
  <w:style w:type="numbering" w:customStyle="1" w:styleId="NoList5">
    <w:name w:val="No List5"/>
    <w:next w:val="NoList"/>
    <w:uiPriority w:val="99"/>
    <w:semiHidden/>
    <w:unhideWhenUsed/>
    <w:rsid w:val="000D3CFF"/>
  </w:style>
  <w:style w:type="table" w:customStyle="1" w:styleId="TableGrid6">
    <w:name w:val="Table Grid6"/>
    <w:basedOn w:val="TableNormal"/>
    <w:next w:val="TableGrid"/>
    <w:rsid w:val="000D3CFF"/>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5">
    <w:name w:val="Style15"/>
    <w:basedOn w:val="NoList"/>
    <w:uiPriority w:val="99"/>
    <w:rsid w:val="000D3CFF"/>
  </w:style>
  <w:style w:type="paragraph" w:styleId="Title">
    <w:name w:val="Title"/>
    <w:aliases w:val="Document Title,Title Cover"/>
    <w:basedOn w:val="Normal"/>
    <w:link w:val="TitleChar"/>
    <w:uiPriority w:val="10"/>
    <w:qFormat/>
    <w:rsid w:val="006C1A1F"/>
    <w:pPr>
      <w:spacing w:before="0" w:after="0" w:line="360" w:lineRule="auto"/>
      <w:jc w:val="center"/>
    </w:pPr>
    <w:rPr>
      <w:rFonts w:ascii="Times New Roman" w:eastAsia="Times New Roman" w:hAnsi="Times New Roman"/>
      <w:b/>
      <w:bCs/>
      <w:sz w:val="28"/>
      <w:szCs w:val="20"/>
      <w:u w:val="single"/>
      <w:lang w:val="en-IE"/>
    </w:rPr>
  </w:style>
  <w:style w:type="character" w:customStyle="1" w:styleId="TitleChar">
    <w:name w:val="Title Char"/>
    <w:aliases w:val="Document Title Char,Title Cover Char"/>
    <w:basedOn w:val="DefaultParagraphFont"/>
    <w:link w:val="Title"/>
    <w:uiPriority w:val="10"/>
    <w:rsid w:val="006C1A1F"/>
    <w:rPr>
      <w:rFonts w:ascii="Times New Roman" w:eastAsia="Times New Roman" w:hAnsi="Times New Roman" w:cs="Times New Roman"/>
      <w:b/>
      <w:bCs/>
      <w:sz w:val="28"/>
      <w:szCs w:val="20"/>
      <w:u w:val="single"/>
      <w:lang w:val="en-IE"/>
    </w:rPr>
  </w:style>
  <w:style w:type="paragraph" w:customStyle="1" w:styleId="ReferenceNumber">
    <w:name w:val="Reference Number"/>
    <w:basedOn w:val="Normal"/>
    <w:qFormat/>
    <w:rsid w:val="0003733C"/>
    <w:pPr>
      <w:tabs>
        <w:tab w:val="left" w:pos="1480"/>
      </w:tabs>
      <w:spacing w:before="0" w:after="0"/>
      <w:jc w:val="right"/>
    </w:pPr>
    <w:rPr>
      <w:rFonts w:eastAsiaTheme="minorHAnsi" w:cstheme="minorBidi"/>
      <w:sz w:val="20"/>
      <w:szCs w:val="20"/>
      <w:lang w:val="en-GB"/>
    </w:rPr>
  </w:style>
  <w:style w:type="paragraph" w:customStyle="1" w:styleId="DocumentSubtitle">
    <w:name w:val="Document Subtitle"/>
    <w:basedOn w:val="Heading1"/>
    <w:qFormat/>
    <w:rsid w:val="0003733C"/>
    <w:pPr>
      <w:spacing w:before="240" w:after="60"/>
      <w:jc w:val="center"/>
    </w:pPr>
    <w:rPr>
      <w:rFonts w:ascii="Verdana" w:hAnsi="Verdana"/>
      <w:color w:val="auto"/>
      <w:lang w:val="en-GB"/>
    </w:rPr>
  </w:style>
  <w:style w:type="character" w:customStyle="1" w:styleId="Style10">
    <w:name w:val="Style10"/>
    <w:basedOn w:val="DefaultParagraphFont"/>
    <w:uiPriority w:val="1"/>
    <w:rsid w:val="0003733C"/>
    <w:rPr>
      <w:color w:val="FF0000"/>
    </w:rPr>
  </w:style>
  <w:style w:type="paragraph" w:customStyle="1" w:styleId="ConsultationItalic">
    <w:name w:val="Consultation Italic"/>
    <w:basedOn w:val="Normal"/>
    <w:rsid w:val="0003733C"/>
    <w:pPr>
      <w:numPr>
        <w:numId w:val="12"/>
      </w:numPr>
      <w:spacing w:before="0" w:line="276" w:lineRule="auto"/>
    </w:pPr>
    <w:rPr>
      <w:rFonts w:ascii="Times New Roman" w:eastAsia="Times New Roman" w:hAnsi="Times New Roman"/>
      <w:i/>
      <w:noProof/>
      <w:sz w:val="24"/>
      <w:lang w:val="en-GB" w:eastAsia="de-DE"/>
    </w:rPr>
  </w:style>
  <w:style w:type="paragraph" w:customStyle="1" w:styleId="Numberedparagraph">
    <w:name w:val="Numbered paragraph"/>
    <w:rsid w:val="007A75B6"/>
    <w:pPr>
      <w:numPr>
        <w:numId w:val="13"/>
      </w:numPr>
      <w:spacing w:after="240" w:line="280" w:lineRule="atLeast"/>
      <w:jc w:val="both"/>
    </w:pPr>
    <w:rPr>
      <w:rFonts w:ascii="Arial" w:eastAsia="Times New Roman" w:hAnsi="Arial" w:cs="Times New Roman"/>
      <w:szCs w:val="20"/>
    </w:rPr>
  </w:style>
  <w:style w:type="character" w:customStyle="1" w:styleId="super">
    <w:name w:val="super"/>
    <w:basedOn w:val="DefaultParagraphFont"/>
    <w:rsid w:val="00953548"/>
  </w:style>
  <w:style w:type="character" w:customStyle="1" w:styleId="apple-converted-space">
    <w:name w:val="apple-converted-space"/>
    <w:basedOn w:val="DefaultParagraphFont"/>
    <w:rsid w:val="00953548"/>
  </w:style>
  <w:style w:type="paragraph" w:customStyle="1" w:styleId="xl16824">
    <w:name w:val="xl16824"/>
    <w:basedOn w:val="Normal"/>
    <w:rsid w:val="004769D4"/>
    <w:pPr>
      <w:shd w:val="clear" w:color="000000" w:fill="FFFFFF"/>
      <w:spacing w:before="100" w:beforeAutospacing="1" w:after="100" w:afterAutospacing="1"/>
      <w:textAlignment w:val="center"/>
    </w:pPr>
    <w:rPr>
      <w:rFonts w:eastAsia="Times New Roman"/>
      <w:b/>
      <w:bCs/>
      <w:sz w:val="24"/>
      <w:lang w:val="en-GB" w:eastAsia="en-GB"/>
    </w:rPr>
  </w:style>
  <w:style w:type="character" w:customStyle="1" w:styleId="Underlined">
    <w:name w:val="Underlined"/>
    <w:basedOn w:val="DefaultParagraphFont"/>
    <w:uiPriority w:val="1"/>
    <w:qFormat/>
    <w:rsid w:val="00B46FB3"/>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7058">
      <w:bodyDiv w:val="1"/>
      <w:marLeft w:val="0"/>
      <w:marRight w:val="0"/>
      <w:marTop w:val="0"/>
      <w:marBottom w:val="0"/>
      <w:divBdr>
        <w:top w:val="none" w:sz="0" w:space="0" w:color="auto"/>
        <w:left w:val="none" w:sz="0" w:space="0" w:color="auto"/>
        <w:bottom w:val="none" w:sz="0" w:space="0" w:color="auto"/>
        <w:right w:val="none" w:sz="0" w:space="0" w:color="auto"/>
      </w:divBdr>
    </w:div>
    <w:div w:id="133529000">
      <w:bodyDiv w:val="1"/>
      <w:marLeft w:val="0"/>
      <w:marRight w:val="0"/>
      <w:marTop w:val="0"/>
      <w:marBottom w:val="0"/>
      <w:divBdr>
        <w:top w:val="none" w:sz="0" w:space="0" w:color="auto"/>
        <w:left w:val="none" w:sz="0" w:space="0" w:color="auto"/>
        <w:bottom w:val="none" w:sz="0" w:space="0" w:color="auto"/>
        <w:right w:val="none" w:sz="0" w:space="0" w:color="auto"/>
      </w:divBdr>
    </w:div>
    <w:div w:id="145317866">
      <w:bodyDiv w:val="1"/>
      <w:marLeft w:val="0"/>
      <w:marRight w:val="0"/>
      <w:marTop w:val="0"/>
      <w:marBottom w:val="0"/>
      <w:divBdr>
        <w:top w:val="none" w:sz="0" w:space="0" w:color="auto"/>
        <w:left w:val="none" w:sz="0" w:space="0" w:color="auto"/>
        <w:bottom w:val="none" w:sz="0" w:space="0" w:color="auto"/>
        <w:right w:val="none" w:sz="0" w:space="0" w:color="auto"/>
      </w:divBdr>
      <w:divsChild>
        <w:div w:id="1296445582">
          <w:marLeft w:val="0"/>
          <w:marRight w:val="0"/>
          <w:marTop w:val="0"/>
          <w:marBottom w:val="0"/>
          <w:divBdr>
            <w:top w:val="none" w:sz="0" w:space="0" w:color="auto"/>
            <w:left w:val="none" w:sz="0" w:space="0" w:color="auto"/>
            <w:bottom w:val="none" w:sz="0" w:space="0" w:color="auto"/>
            <w:right w:val="none" w:sz="0" w:space="0" w:color="auto"/>
          </w:divBdr>
        </w:div>
        <w:div w:id="1249001487">
          <w:marLeft w:val="0"/>
          <w:marRight w:val="0"/>
          <w:marTop w:val="0"/>
          <w:marBottom w:val="0"/>
          <w:divBdr>
            <w:top w:val="none" w:sz="0" w:space="0" w:color="auto"/>
            <w:left w:val="none" w:sz="0" w:space="0" w:color="auto"/>
            <w:bottom w:val="none" w:sz="0" w:space="0" w:color="auto"/>
            <w:right w:val="none" w:sz="0" w:space="0" w:color="auto"/>
          </w:divBdr>
        </w:div>
        <w:div w:id="508105509">
          <w:marLeft w:val="0"/>
          <w:marRight w:val="0"/>
          <w:marTop w:val="0"/>
          <w:marBottom w:val="0"/>
          <w:divBdr>
            <w:top w:val="none" w:sz="0" w:space="0" w:color="auto"/>
            <w:left w:val="none" w:sz="0" w:space="0" w:color="auto"/>
            <w:bottom w:val="none" w:sz="0" w:space="0" w:color="auto"/>
            <w:right w:val="none" w:sz="0" w:space="0" w:color="auto"/>
          </w:divBdr>
        </w:div>
        <w:div w:id="2044209825">
          <w:marLeft w:val="0"/>
          <w:marRight w:val="0"/>
          <w:marTop w:val="0"/>
          <w:marBottom w:val="0"/>
          <w:divBdr>
            <w:top w:val="none" w:sz="0" w:space="0" w:color="auto"/>
            <w:left w:val="none" w:sz="0" w:space="0" w:color="auto"/>
            <w:bottom w:val="none" w:sz="0" w:space="0" w:color="auto"/>
            <w:right w:val="none" w:sz="0" w:space="0" w:color="auto"/>
          </w:divBdr>
        </w:div>
      </w:divsChild>
    </w:div>
    <w:div w:id="155195715">
      <w:bodyDiv w:val="1"/>
      <w:marLeft w:val="0"/>
      <w:marRight w:val="0"/>
      <w:marTop w:val="0"/>
      <w:marBottom w:val="0"/>
      <w:divBdr>
        <w:top w:val="none" w:sz="0" w:space="0" w:color="auto"/>
        <w:left w:val="none" w:sz="0" w:space="0" w:color="auto"/>
        <w:bottom w:val="none" w:sz="0" w:space="0" w:color="auto"/>
        <w:right w:val="none" w:sz="0" w:space="0" w:color="auto"/>
      </w:divBdr>
    </w:div>
    <w:div w:id="276107529">
      <w:bodyDiv w:val="1"/>
      <w:marLeft w:val="0"/>
      <w:marRight w:val="0"/>
      <w:marTop w:val="0"/>
      <w:marBottom w:val="0"/>
      <w:divBdr>
        <w:top w:val="none" w:sz="0" w:space="0" w:color="auto"/>
        <w:left w:val="none" w:sz="0" w:space="0" w:color="auto"/>
        <w:bottom w:val="none" w:sz="0" w:space="0" w:color="auto"/>
        <w:right w:val="none" w:sz="0" w:space="0" w:color="auto"/>
      </w:divBdr>
      <w:divsChild>
        <w:div w:id="1172380859">
          <w:marLeft w:val="547"/>
          <w:marRight w:val="0"/>
          <w:marTop w:val="86"/>
          <w:marBottom w:val="0"/>
          <w:divBdr>
            <w:top w:val="none" w:sz="0" w:space="0" w:color="auto"/>
            <w:left w:val="none" w:sz="0" w:space="0" w:color="auto"/>
            <w:bottom w:val="none" w:sz="0" w:space="0" w:color="auto"/>
            <w:right w:val="none" w:sz="0" w:space="0" w:color="auto"/>
          </w:divBdr>
        </w:div>
        <w:div w:id="1619289850">
          <w:marLeft w:val="547"/>
          <w:marRight w:val="0"/>
          <w:marTop w:val="86"/>
          <w:marBottom w:val="0"/>
          <w:divBdr>
            <w:top w:val="none" w:sz="0" w:space="0" w:color="auto"/>
            <w:left w:val="none" w:sz="0" w:space="0" w:color="auto"/>
            <w:bottom w:val="none" w:sz="0" w:space="0" w:color="auto"/>
            <w:right w:val="none" w:sz="0" w:space="0" w:color="auto"/>
          </w:divBdr>
        </w:div>
        <w:div w:id="1843937038">
          <w:marLeft w:val="547"/>
          <w:marRight w:val="0"/>
          <w:marTop w:val="86"/>
          <w:marBottom w:val="0"/>
          <w:divBdr>
            <w:top w:val="none" w:sz="0" w:space="0" w:color="auto"/>
            <w:left w:val="none" w:sz="0" w:space="0" w:color="auto"/>
            <w:bottom w:val="none" w:sz="0" w:space="0" w:color="auto"/>
            <w:right w:val="none" w:sz="0" w:space="0" w:color="auto"/>
          </w:divBdr>
        </w:div>
      </w:divsChild>
    </w:div>
    <w:div w:id="289283845">
      <w:bodyDiv w:val="1"/>
      <w:marLeft w:val="0"/>
      <w:marRight w:val="0"/>
      <w:marTop w:val="0"/>
      <w:marBottom w:val="0"/>
      <w:divBdr>
        <w:top w:val="none" w:sz="0" w:space="0" w:color="auto"/>
        <w:left w:val="none" w:sz="0" w:space="0" w:color="auto"/>
        <w:bottom w:val="none" w:sz="0" w:space="0" w:color="auto"/>
        <w:right w:val="none" w:sz="0" w:space="0" w:color="auto"/>
      </w:divBdr>
      <w:divsChild>
        <w:div w:id="1017779055">
          <w:marLeft w:val="0"/>
          <w:marRight w:val="0"/>
          <w:marTop w:val="0"/>
          <w:marBottom w:val="0"/>
          <w:divBdr>
            <w:top w:val="none" w:sz="0" w:space="0" w:color="auto"/>
            <w:left w:val="none" w:sz="0" w:space="0" w:color="auto"/>
            <w:bottom w:val="none" w:sz="0" w:space="0" w:color="auto"/>
            <w:right w:val="none" w:sz="0" w:space="0" w:color="auto"/>
          </w:divBdr>
          <w:divsChild>
            <w:div w:id="638266473">
              <w:marLeft w:val="0"/>
              <w:marRight w:val="0"/>
              <w:marTop w:val="0"/>
              <w:marBottom w:val="0"/>
              <w:divBdr>
                <w:top w:val="none" w:sz="0" w:space="0" w:color="auto"/>
                <w:left w:val="none" w:sz="0" w:space="0" w:color="auto"/>
                <w:bottom w:val="none" w:sz="0" w:space="0" w:color="auto"/>
                <w:right w:val="none" w:sz="0" w:space="0" w:color="auto"/>
              </w:divBdr>
              <w:divsChild>
                <w:div w:id="1087536745">
                  <w:marLeft w:val="0"/>
                  <w:marRight w:val="0"/>
                  <w:marTop w:val="0"/>
                  <w:marBottom w:val="0"/>
                  <w:divBdr>
                    <w:top w:val="none" w:sz="0" w:space="0" w:color="auto"/>
                    <w:left w:val="none" w:sz="0" w:space="0" w:color="auto"/>
                    <w:bottom w:val="none" w:sz="0" w:space="0" w:color="auto"/>
                    <w:right w:val="none" w:sz="0" w:space="0" w:color="auto"/>
                  </w:divBdr>
                  <w:divsChild>
                    <w:div w:id="2021200499">
                      <w:marLeft w:val="0"/>
                      <w:marRight w:val="0"/>
                      <w:marTop w:val="0"/>
                      <w:marBottom w:val="0"/>
                      <w:divBdr>
                        <w:top w:val="none" w:sz="0" w:space="0" w:color="auto"/>
                        <w:left w:val="none" w:sz="0" w:space="0" w:color="auto"/>
                        <w:bottom w:val="none" w:sz="0" w:space="0" w:color="auto"/>
                        <w:right w:val="none" w:sz="0" w:space="0" w:color="auto"/>
                      </w:divBdr>
                      <w:divsChild>
                        <w:div w:id="947352043">
                          <w:marLeft w:val="0"/>
                          <w:marRight w:val="0"/>
                          <w:marTop w:val="0"/>
                          <w:marBottom w:val="0"/>
                          <w:divBdr>
                            <w:top w:val="none" w:sz="0" w:space="0" w:color="auto"/>
                            <w:left w:val="none" w:sz="0" w:space="0" w:color="auto"/>
                            <w:bottom w:val="none" w:sz="0" w:space="0" w:color="auto"/>
                            <w:right w:val="none" w:sz="0" w:space="0" w:color="auto"/>
                          </w:divBdr>
                          <w:divsChild>
                            <w:div w:id="598292832">
                              <w:marLeft w:val="0"/>
                              <w:marRight w:val="0"/>
                              <w:marTop w:val="0"/>
                              <w:marBottom w:val="0"/>
                              <w:divBdr>
                                <w:top w:val="none" w:sz="0" w:space="0" w:color="auto"/>
                                <w:left w:val="none" w:sz="0" w:space="0" w:color="auto"/>
                                <w:bottom w:val="none" w:sz="0" w:space="0" w:color="auto"/>
                                <w:right w:val="none" w:sz="0" w:space="0" w:color="auto"/>
                              </w:divBdr>
                              <w:divsChild>
                                <w:div w:id="127433167">
                                  <w:marLeft w:val="0"/>
                                  <w:marRight w:val="0"/>
                                  <w:marTop w:val="180"/>
                                  <w:marBottom w:val="0"/>
                                  <w:divBdr>
                                    <w:top w:val="none" w:sz="0" w:space="0" w:color="auto"/>
                                    <w:left w:val="none" w:sz="0" w:space="0" w:color="auto"/>
                                    <w:bottom w:val="none" w:sz="0" w:space="0" w:color="auto"/>
                                    <w:right w:val="none" w:sz="0" w:space="0" w:color="auto"/>
                                  </w:divBdr>
                                  <w:divsChild>
                                    <w:div w:id="1662655473">
                                      <w:marLeft w:val="0"/>
                                      <w:marRight w:val="0"/>
                                      <w:marTop w:val="0"/>
                                      <w:marBottom w:val="0"/>
                                      <w:divBdr>
                                        <w:top w:val="none" w:sz="0" w:space="0" w:color="auto"/>
                                        <w:left w:val="none" w:sz="0" w:space="0" w:color="auto"/>
                                        <w:bottom w:val="none" w:sz="0" w:space="0" w:color="auto"/>
                                        <w:right w:val="none" w:sz="0" w:space="0" w:color="auto"/>
                                      </w:divBdr>
                                      <w:divsChild>
                                        <w:div w:id="1516773944">
                                          <w:marLeft w:val="0"/>
                                          <w:marRight w:val="0"/>
                                          <w:marTop w:val="0"/>
                                          <w:marBottom w:val="0"/>
                                          <w:divBdr>
                                            <w:top w:val="none" w:sz="0" w:space="0" w:color="auto"/>
                                            <w:left w:val="none" w:sz="0" w:space="0" w:color="auto"/>
                                            <w:bottom w:val="none" w:sz="0" w:space="0" w:color="auto"/>
                                            <w:right w:val="none" w:sz="0" w:space="0" w:color="auto"/>
                                          </w:divBdr>
                                          <w:divsChild>
                                            <w:div w:id="1761221903">
                                              <w:marLeft w:val="0"/>
                                              <w:marRight w:val="0"/>
                                              <w:marTop w:val="0"/>
                                              <w:marBottom w:val="0"/>
                                              <w:divBdr>
                                                <w:top w:val="none" w:sz="0" w:space="0" w:color="auto"/>
                                                <w:left w:val="none" w:sz="0" w:space="0" w:color="auto"/>
                                                <w:bottom w:val="none" w:sz="0" w:space="0" w:color="auto"/>
                                                <w:right w:val="none" w:sz="0" w:space="0" w:color="auto"/>
                                              </w:divBdr>
                                              <w:divsChild>
                                                <w:div w:id="622351408">
                                                  <w:marLeft w:val="0"/>
                                                  <w:marRight w:val="0"/>
                                                  <w:marTop w:val="0"/>
                                                  <w:marBottom w:val="240"/>
                                                  <w:divBdr>
                                                    <w:top w:val="none" w:sz="0" w:space="0" w:color="auto"/>
                                                    <w:left w:val="none" w:sz="0" w:space="0" w:color="auto"/>
                                                    <w:bottom w:val="none" w:sz="0" w:space="0" w:color="auto"/>
                                                    <w:right w:val="none" w:sz="0" w:space="0" w:color="auto"/>
                                                  </w:divBdr>
                                                  <w:divsChild>
                                                    <w:div w:id="21102823">
                                                      <w:marLeft w:val="0"/>
                                                      <w:marRight w:val="0"/>
                                                      <w:marTop w:val="0"/>
                                                      <w:marBottom w:val="0"/>
                                                      <w:divBdr>
                                                        <w:top w:val="none" w:sz="0" w:space="0" w:color="auto"/>
                                                        <w:left w:val="none" w:sz="0" w:space="0" w:color="auto"/>
                                                        <w:bottom w:val="none" w:sz="0" w:space="0" w:color="auto"/>
                                                        <w:right w:val="none" w:sz="0" w:space="0" w:color="auto"/>
                                                      </w:divBdr>
                                                      <w:divsChild>
                                                        <w:div w:id="201353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21158958">
      <w:bodyDiv w:val="1"/>
      <w:marLeft w:val="0"/>
      <w:marRight w:val="0"/>
      <w:marTop w:val="0"/>
      <w:marBottom w:val="0"/>
      <w:divBdr>
        <w:top w:val="none" w:sz="0" w:space="0" w:color="auto"/>
        <w:left w:val="none" w:sz="0" w:space="0" w:color="auto"/>
        <w:bottom w:val="none" w:sz="0" w:space="0" w:color="auto"/>
        <w:right w:val="none" w:sz="0" w:space="0" w:color="auto"/>
      </w:divBdr>
    </w:div>
    <w:div w:id="471482514">
      <w:bodyDiv w:val="1"/>
      <w:marLeft w:val="0"/>
      <w:marRight w:val="0"/>
      <w:marTop w:val="0"/>
      <w:marBottom w:val="0"/>
      <w:divBdr>
        <w:top w:val="none" w:sz="0" w:space="0" w:color="auto"/>
        <w:left w:val="none" w:sz="0" w:space="0" w:color="auto"/>
        <w:bottom w:val="none" w:sz="0" w:space="0" w:color="auto"/>
        <w:right w:val="none" w:sz="0" w:space="0" w:color="auto"/>
      </w:divBdr>
    </w:div>
    <w:div w:id="585501262">
      <w:bodyDiv w:val="1"/>
      <w:marLeft w:val="0"/>
      <w:marRight w:val="0"/>
      <w:marTop w:val="0"/>
      <w:marBottom w:val="0"/>
      <w:divBdr>
        <w:top w:val="none" w:sz="0" w:space="0" w:color="auto"/>
        <w:left w:val="none" w:sz="0" w:space="0" w:color="auto"/>
        <w:bottom w:val="none" w:sz="0" w:space="0" w:color="auto"/>
        <w:right w:val="none" w:sz="0" w:space="0" w:color="auto"/>
      </w:divBdr>
      <w:divsChild>
        <w:div w:id="910652355">
          <w:marLeft w:val="0"/>
          <w:marRight w:val="0"/>
          <w:marTop w:val="0"/>
          <w:marBottom w:val="0"/>
          <w:divBdr>
            <w:top w:val="none" w:sz="0" w:space="0" w:color="auto"/>
            <w:left w:val="none" w:sz="0" w:space="0" w:color="auto"/>
            <w:bottom w:val="none" w:sz="0" w:space="0" w:color="auto"/>
            <w:right w:val="none" w:sz="0" w:space="0" w:color="auto"/>
          </w:divBdr>
        </w:div>
        <w:div w:id="1011832935">
          <w:marLeft w:val="0"/>
          <w:marRight w:val="0"/>
          <w:marTop w:val="0"/>
          <w:marBottom w:val="0"/>
          <w:divBdr>
            <w:top w:val="none" w:sz="0" w:space="0" w:color="auto"/>
            <w:left w:val="none" w:sz="0" w:space="0" w:color="auto"/>
            <w:bottom w:val="none" w:sz="0" w:space="0" w:color="auto"/>
            <w:right w:val="none" w:sz="0" w:space="0" w:color="auto"/>
          </w:divBdr>
        </w:div>
        <w:div w:id="137574016">
          <w:marLeft w:val="0"/>
          <w:marRight w:val="0"/>
          <w:marTop w:val="0"/>
          <w:marBottom w:val="0"/>
          <w:divBdr>
            <w:top w:val="none" w:sz="0" w:space="0" w:color="auto"/>
            <w:left w:val="none" w:sz="0" w:space="0" w:color="auto"/>
            <w:bottom w:val="none" w:sz="0" w:space="0" w:color="auto"/>
            <w:right w:val="none" w:sz="0" w:space="0" w:color="auto"/>
          </w:divBdr>
        </w:div>
        <w:div w:id="1757438617">
          <w:marLeft w:val="0"/>
          <w:marRight w:val="0"/>
          <w:marTop w:val="0"/>
          <w:marBottom w:val="0"/>
          <w:divBdr>
            <w:top w:val="none" w:sz="0" w:space="0" w:color="auto"/>
            <w:left w:val="none" w:sz="0" w:space="0" w:color="auto"/>
            <w:bottom w:val="none" w:sz="0" w:space="0" w:color="auto"/>
            <w:right w:val="none" w:sz="0" w:space="0" w:color="auto"/>
          </w:divBdr>
        </w:div>
      </w:divsChild>
    </w:div>
    <w:div w:id="586302681">
      <w:bodyDiv w:val="1"/>
      <w:marLeft w:val="0"/>
      <w:marRight w:val="0"/>
      <w:marTop w:val="0"/>
      <w:marBottom w:val="0"/>
      <w:divBdr>
        <w:top w:val="none" w:sz="0" w:space="0" w:color="auto"/>
        <w:left w:val="none" w:sz="0" w:space="0" w:color="auto"/>
        <w:bottom w:val="none" w:sz="0" w:space="0" w:color="auto"/>
        <w:right w:val="none" w:sz="0" w:space="0" w:color="auto"/>
      </w:divBdr>
      <w:divsChild>
        <w:div w:id="2037651927">
          <w:marLeft w:val="0"/>
          <w:marRight w:val="0"/>
          <w:marTop w:val="0"/>
          <w:marBottom w:val="0"/>
          <w:divBdr>
            <w:top w:val="none" w:sz="0" w:space="0" w:color="auto"/>
            <w:left w:val="none" w:sz="0" w:space="0" w:color="auto"/>
            <w:bottom w:val="none" w:sz="0" w:space="0" w:color="auto"/>
            <w:right w:val="none" w:sz="0" w:space="0" w:color="auto"/>
          </w:divBdr>
        </w:div>
        <w:div w:id="1753622388">
          <w:marLeft w:val="0"/>
          <w:marRight w:val="0"/>
          <w:marTop w:val="0"/>
          <w:marBottom w:val="0"/>
          <w:divBdr>
            <w:top w:val="none" w:sz="0" w:space="0" w:color="auto"/>
            <w:left w:val="none" w:sz="0" w:space="0" w:color="auto"/>
            <w:bottom w:val="none" w:sz="0" w:space="0" w:color="auto"/>
            <w:right w:val="none" w:sz="0" w:space="0" w:color="auto"/>
          </w:divBdr>
        </w:div>
        <w:div w:id="817235382">
          <w:marLeft w:val="0"/>
          <w:marRight w:val="0"/>
          <w:marTop w:val="0"/>
          <w:marBottom w:val="0"/>
          <w:divBdr>
            <w:top w:val="none" w:sz="0" w:space="0" w:color="auto"/>
            <w:left w:val="none" w:sz="0" w:space="0" w:color="auto"/>
            <w:bottom w:val="none" w:sz="0" w:space="0" w:color="auto"/>
            <w:right w:val="none" w:sz="0" w:space="0" w:color="auto"/>
          </w:divBdr>
        </w:div>
      </w:divsChild>
    </w:div>
    <w:div w:id="682365295">
      <w:bodyDiv w:val="1"/>
      <w:marLeft w:val="0"/>
      <w:marRight w:val="0"/>
      <w:marTop w:val="0"/>
      <w:marBottom w:val="0"/>
      <w:divBdr>
        <w:top w:val="none" w:sz="0" w:space="0" w:color="auto"/>
        <w:left w:val="none" w:sz="0" w:space="0" w:color="auto"/>
        <w:bottom w:val="none" w:sz="0" w:space="0" w:color="auto"/>
        <w:right w:val="none" w:sz="0" w:space="0" w:color="auto"/>
      </w:divBdr>
    </w:div>
    <w:div w:id="729963091">
      <w:bodyDiv w:val="1"/>
      <w:marLeft w:val="0"/>
      <w:marRight w:val="0"/>
      <w:marTop w:val="0"/>
      <w:marBottom w:val="0"/>
      <w:divBdr>
        <w:top w:val="none" w:sz="0" w:space="0" w:color="auto"/>
        <w:left w:val="none" w:sz="0" w:space="0" w:color="auto"/>
        <w:bottom w:val="none" w:sz="0" w:space="0" w:color="auto"/>
        <w:right w:val="none" w:sz="0" w:space="0" w:color="auto"/>
      </w:divBdr>
    </w:div>
    <w:div w:id="823354543">
      <w:bodyDiv w:val="1"/>
      <w:marLeft w:val="0"/>
      <w:marRight w:val="0"/>
      <w:marTop w:val="0"/>
      <w:marBottom w:val="0"/>
      <w:divBdr>
        <w:top w:val="none" w:sz="0" w:space="0" w:color="auto"/>
        <w:left w:val="none" w:sz="0" w:space="0" w:color="auto"/>
        <w:bottom w:val="none" w:sz="0" w:space="0" w:color="auto"/>
        <w:right w:val="none" w:sz="0" w:space="0" w:color="auto"/>
      </w:divBdr>
    </w:div>
    <w:div w:id="1052575621">
      <w:bodyDiv w:val="1"/>
      <w:marLeft w:val="0"/>
      <w:marRight w:val="0"/>
      <w:marTop w:val="0"/>
      <w:marBottom w:val="0"/>
      <w:divBdr>
        <w:top w:val="none" w:sz="0" w:space="0" w:color="auto"/>
        <w:left w:val="none" w:sz="0" w:space="0" w:color="auto"/>
        <w:bottom w:val="none" w:sz="0" w:space="0" w:color="auto"/>
        <w:right w:val="none" w:sz="0" w:space="0" w:color="auto"/>
      </w:divBdr>
    </w:div>
    <w:div w:id="1311907597">
      <w:bodyDiv w:val="1"/>
      <w:marLeft w:val="0"/>
      <w:marRight w:val="0"/>
      <w:marTop w:val="0"/>
      <w:marBottom w:val="0"/>
      <w:divBdr>
        <w:top w:val="none" w:sz="0" w:space="0" w:color="auto"/>
        <w:left w:val="none" w:sz="0" w:space="0" w:color="auto"/>
        <w:bottom w:val="none" w:sz="0" w:space="0" w:color="auto"/>
        <w:right w:val="none" w:sz="0" w:space="0" w:color="auto"/>
      </w:divBdr>
    </w:div>
    <w:div w:id="1326514792">
      <w:bodyDiv w:val="1"/>
      <w:marLeft w:val="0"/>
      <w:marRight w:val="0"/>
      <w:marTop w:val="0"/>
      <w:marBottom w:val="0"/>
      <w:divBdr>
        <w:top w:val="none" w:sz="0" w:space="0" w:color="auto"/>
        <w:left w:val="none" w:sz="0" w:space="0" w:color="auto"/>
        <w:bottom w:val="none" w:sz="0" w:space="0" w:color="auto"/>
        <w:right w:val="none" w:sz="0" w:space="0" w:color="auto"/>
      </w:divBdr>
    </w:div>
    <w:div w:id="1592617548">
      <w:bodyDiv w:val="1"/>
      <w:marLeft w:val="0"/>
      <w:marRight w:val="0"/>
      <w:marTop w:val="0"/>
      <w:marBottom w:val="0"/>
      <w:divBdr>
        <w:top w:val="none" w:sz="0" w:space="0" w:color="auto"/>
        <w:left w:val="none" w:sz="0" w:space="0" w:color="auto"/>
        <w:bottom w:val="none" w:sz="0" w:space="0" w:color="auto"/>
        <w:right w:val="none" w:sz="0" w:space="0" w:color="auto"/>
      </w:divBdr>
    </w:div>
    <w:div w:id="1628975409">
      <w:bodyDiv w:val="1"/>
      <w:marLeft w:val="0"/>
      <w:marRight w:val="0"/>
      <w:marTop w:val="0"/>
      <w:marBottom w:val="0"/>
      <w:divBdr>
        <w:top w:val="none" w:sz="0" w:space="0" w:color="auto"/>
        <w:left w:val="none" w:sz="0" w:space="0" w:color="auto"/>
        <w:bottom w:val="none" w:sz="0" w:space="0" w:color="auto"/>
        <w:right w:val="none" w:sz="0" w:space="0" w:color="auto"/>
      </w:divBdr>
      <w:divsChild>
        <w:div w:id="571353209">
          <w:marLeft w:val="1080"/>
          <w:marRight w:val="0"/>
          <w:marTop w:val="100"/>
          <w:marBottom w:val="0"/>
          <w:divBdr>
            <w:top w:val="none" w:sz="0" w:space="0" w:color="auto"/>
            <w:left w:val="none" w:sz="0" w:space="0" w:color="auto"/>
            <w:bottom w:val="none" w:sz="0" w:space="0" w:color="auto"/>
            <w:right w:val="none" w:sz="0" w:space="0" w:color="auto"/>
          </w:divBdr>
        </w:div>
        <w:div w:id="2145003159">
          <w:marLeft w:val="1800"/>
          <w:marRight w:val="0"/>
          <w:marTop w:val="100"/>
          <w:marBottom w:val="0"/>
          <w:divBdr>
            <w:top w:val="none" w:sz="0" w:space="0" w:color="auto"/>
            <w:left w:val="none" w:sz="0" w:space="0" w:color="auto"/>
            <w:bottom w:val="none" w:sz="0" w:space="0" w:color="auto"/>
            <w:right w:val="none" w:sz="0" w:space="0" w:color="auto"/>
          </w:divBdr>
        </w:div>
        <w:div w:id="63528996">
          <w:marLeft w:val="1800"/>
          <w:marRight w:val="0"/>
          <w:marTop w:val="100"/>
          <w:marBottom w:val="0"/>
          <w:divBdr>
            <w:top w:val="none" w:sz="0" w:space="0" w:color="auto"/>
            <w:left w:val="none" w:sz="0" w:space="0" w:color="auto"/>
            <w:bottom w:val="none" w:sz="0" w:space="0" w:color="auto"/>
            <w:right w:val="none" w:sz="0" w:space="0" w:color="auto"/>
          </w:divBdr>
        </w:div>
      </w:divsChild>
    </w:div>
    <w:div w:id="1651446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gisters.esma.europa.eu/publication/searchRegister?core=esma_registers_rada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iopa.europa.eu/regulation-supervision/q-a-on-regulatio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header" Target="header2.xml"/><Relationship Id="rId23"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registers.esma.europa.eu/publication/searchRegister?core=esma_registers_rad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EEF24-C2FB-4DE8-96D7-34EA8151373C}">
  <ds:schemaRefs/>
</ds:datastoreItem>
</file>

<file path=customXml/itemProps2.xml><?xml version="1.0" encoding="utf-8"?>
<ds:datastoreItem xmlns:ds="http://schemas.openxmlformats.org/officeDocument/2006/customXml" ds:itemID="{8DA6142B-A9EC-4AD3-ADAC-7816548182B4}">
  <ds:schemaRefs>
    <ds:schemaRef ds:uri="http://schemas.openxmlformats.org/officeDocument/2006/bibliography"/>
  </ds:schemaRefs>
</ds:datastoreItem>
</file>

<file path=customXml/itemProps3.xml><?xml version="1.0" encoding="utf-8"?>
<ds:datastoreItem xmlns:ds="http://schemas.openxmlformats.org/officeDocument/2006/customXml" ds:itemID="{68FFF1D5-3080-4C4E-9506-A2FEE4173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5012</Words>
  <Characters>28569</Characters>
  <Application>Microsoft Office Word</Application>
  <DocSecurity>0</DocSecurity>
  <Lines>238</Lines>
  <Paragraphs>67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33514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2017-05-22T21:13:00Z</dcterms:created>
  <dcterms:modified xsi:type="dcterms:W3CDTF">2017-06-28T14:55:00Z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-1436493334</vt:i4>
  </property>
  <property fmtid="{D5CDD505-2E9C-101B-9397-08002B2CF9AE}" pid="3" name="_NewReviewCycle">
    <vt:lpwstr/>
  </property>
  <property fmtid="{D5CDD505-2E9C-101B-9397-08002B2CF9AE}" pid="4" name="_ReviewingToolsShownOnce">
    <vt:lpwstr/>
  </property>
</Properties>
</file>